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43F461">
      <w:pPr>
        <w:widowControl/>
        <w:jc w:val="center"/>
        <w:rPr>
          <w:rFonts w:ascii="宋体" w:hAnsi="宋体" w:cs="宋体"/>
          <w:b/>
          <w:bCs/>
          <w:color w:val="000000"/>
          <w:kern w:val="0"/>
          <w:sz w:val="44"/>
          <w:szCs w:val="44"/>
          <w:lang w:bidi="ar"/>
        </w:rPr>
      </w:pPr>
      <w:r>
        <w:rPr>
          <w:rFonts w:hint="eastAsia" w:ascii="微软雅黑" w:hAnsi="微软雅黑" w:eastAsia="微软雅黑" w:cs="微软雅黑"/>
          <w:color w:val="000000"/>
          <w:sz w:val="28"/>
          <w:szCs w:val="28"/>
          <w:shd w:val="clear" w:color="auto" w:fill="FFFFFF"/>
          <w:lang w:bidi="ar"/>
        </w:rPr>
        <w:t>深圳外国语学校龙华高中部</w:t>
      </w:r>
      <w:r>
        <w:rPr>
          <w:rFonts w:hint="eastAsia" w:ascii="微软雅黑" w:hAnsi="微软雅黑" w:eastAsia="微软雅黑" w:cs="微软雅黑"/>
          <w:color w:val="000000"/>
          <w:sz w:val="28"/>
          <w:szCs w:val="28"/>
          <w:shd w:val="clear" w:color="auto" w:fill="FFFFFF"/>
          <w:lang w:val="en-US" w:eastAsia="zh-CN" w:bidi="ar"/>
        </w:rPr>
        <w:t>聚智厅架空层音响及灯光设备采购</w:t>
      </w:r>
      <w:r>
        <w:rPr>
          <w:rFonts w:hint="eastAsia" w:ascii="微软雅黑" w:hAnsi="微软雅黑" w:eastAsia="微软雅黑" w:cs="微软雅黑"/>
          <w:color w:val="000000"/>
          <w:sz w:val="28"/>
          <w:szCs w:val="28"/>
          <w:shd w:val="clear" w:color="auto" w:fill="FFFFFF"/>
        </w:rPr>
        <w:t>招标需求</w:t>
      </w:r>
    </w:p>
    <w:p w14:paraId="08FB9B83">
      <w:pPr>
        <w:pStyle w:val="2"/>
        <w:numPr>
          <w:ilvl w:val="0"/>
          <w:numId w:val="0"/>
        </w:numPr>
        <w:tabs>
          <w:tab w:val="left" w:pos="0"/>
        </w:tabs>
        <w:rPr>
          <w:rFonts w:hint="eastAsia" w:ascii="宋体" w:hAnsi="宋体" w:eastAsia="宋体" w:cs="宋体"/>
          <w:b/>
          <w:bCs/>
          <w:sz w:val="24"/>
          <w:szCs w:val="24"/>
          <w:shd w:val="clear" w:color="auto" w:fill="auto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shd w:val="clear" w:color="auto" w:fill="auto"/>
        </w:rPr>
        <w:t>一 、项目</w:t>
      </w:r>
      <w:r>
        <w:rPr>
          <w:rFonts w:hint="eastAsia" w:ascii="宋体" w:hAnsi="宋体" w:eastAsia="宋体" w:cs="宋体"/>
          <w:b/>
          <w:bCs/>
          <w:sz w:val="24"/>
          <w:szCs w:val="24"/>
          <w:shd w:val="clear" w:color="auto" w:fill="auto"/>
          <w:lang w:val="en-US" w:eastAsia="zh-CN"/>
        </w:rPr>
        <w:t>需求内容</w:t>
      </w:r>
      <w:bookmarkStart w:id="0" w:name="_GoBack"/>
      <w:bookmarkEnd w:id="0"/>
    </w:p>
    <w:tbl>
      <w:tblPr>
        <w:tblStyle w:val="4"/>
        <w:tblW w:w="988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6"/>
        <w:gridCol w:w="2865"/>
        <w:gridCol w:w="1035"/>
        <w:gridCol w:w="1485"/>
        <w:gridCol w:w="825"/>
        <w:gridCol w:w="930"/>
        <w:gridCol w:w="1620"/>
      </w:tblGrid>
      <w:tr w14:paraId="03E8FC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atLeast"/>
        </w:trPr>
        <w:tc>
          <w:tcPr>
            <w:tcW w:w="1126" w:type="dxa"/>
            <w:shd w:val="clear" w:color="auto" w:fill="auto"/>
            <w:vAlign w:val="center"/>
          </w:tcPr>
          <w:p w14:paraId="38F4BF99">
            <w:pPr>
              <w:spacing w:line="36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shd w:val="clear" w:color="auto" w:fill="FFFFFF"/>
              </w:rPr>
              <w:t>序号</w:t>
            </w:r>
          </w:p>
        </w:tc>
        <w:tc>
          <w:tcPr>
            <w:tcW w:w="2865" w:type="dxa"/>
            <w:shd w:val="clear" w:color="auto" w:fill="auto"/>
            <w:vAlign w:val="center"/>
          </w:tcPr>
          <w:p w14:paraId="13864F2B">
            <w:pPr>
              <w:widowControl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shd w:val="clear" w:color="auto" w:fill="FFFFFF"/>
              </w:rPr>
              <w:t>项目内容</w:t>
            </w:r>
          </w:p>
        </w:tc>
        <w:tc>
          <w:tcPr>
            <w:tcW w:w="1035" w:type="dxa"/>
            <w:shd w:val="clear" w:color="auto" w:fill="auto"/>
            <w:vAlign w:val="center"/>
          </w:tcPr>
          <w:p w14:paraId="15604CC3">
            <w:pPr>
              <w:spacing w:line="36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shd w:val="clear" w:color="auto" w:fill="FFFFFF"/>
              </w:rPr>
              <w:t>数量</w:t>
            </w:r>
          </w:p>
        </w:tc>
        <w:tc>
          <w:tcPr>
            <w:tcW w:w="1485" w:type="dxa"/>
            <w:shd w:val="clear" w:color="auto" w:fill="auto"/>
            <w:vAlign w:val="center"/>
          </w:tcPr>
          <w:p w14:paraId="4BD64097"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shd w:val="clear" w:color="auto" w:fill="FFFFFF"/>
              </w:rPr>
              <w:t>品牌型号</w:t>
            </w:r>
          </w:p>
        </w:tc>
        <w:tc>
          <w:tcPr>
            <w:tcW w:w="825" w:type="dxa"/>
            <w:shd w:val="clear" w:color="auto" w:fill="auto"/>
            <w:vAlign w:val="center"/>
          </w:tcPr>
          <w:p w14:paraId="5AF10850"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shd w:val="clear" w:color="auto" w:fill="FFFFFF"/>
                <w:lang w:val="en-US" w:eastAsia="zh-CN"/>
              </w:rPr>
              <w:t>单价（元）</w:t>
            </w:r>
          </w:p>
        </w:tc>
        <w:tc>
          <w:tcPr>
            <w:tcW w:w="930" w:type="dxa"/>
            <w:shd w:val="clear" w:color="auto" w:fill="auto"/>
            <w:vAlign w:val="center"/>
          </w:tcPr>
          <w:p w14:paraId="1886853B">
            <w:pPr>
              <w:spacing w:line="36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2"/>
                <w:szCs w:val="22"/>
                <w:shd w:val="clear" w:color="auto" w:fill="FFFFFF"/>
                <w:lang w:val="en-US" w:eastAsia="zh-CN"/>
              </w:rPr>
              <w:t>总价（元）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51456343"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shd w:val="clear" w:color="auto" w:fill="FFFFFF"/>
              </w:rPr>
              <w:t>备注</w:t>
            </w:r>
          </w:p>
        </w:tc>
      </w:tr>
      <w:tr w14:paraId="549B5C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6" w:type="dxa"/>
            <w:vAlign w:val="center"/>
          </w:tcPr>
          <w:p w14:paraId="1B905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865" w:type="dxa"/>
            <w:vAlign w:val="center"/>
          </w:tcPr>
          <w:p w14:paraId="2D094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主扩线阵音箱</w:t>
            </w:r>
          </w:p>
        </w:tc>
        <w:tc>
          <w:tcPr>
            <w:tcW w:w="1035" w:type="dxa"/>
            <w:vAlign w:val="bottom"/>
          </w:tcPr>
          <w:p w14:paraId="0BA75F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4只</w:t>
            </w:r>
          </w:p>
        </w:tc>
        <w:tc>
          <w:tcPr>
            <w:tcW w:w="1485" w:type="dxa"/>
            <w:vAlign w:val="bottom"/>
          </w:tcPr>
          <w:p w14:paraId="20D4B9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25" w:type="dxa"/>
            <w:vAlign w:val="bottom"/>
          </w:tcPr>
          <w:p w14:paraId="4F6C13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930" w:type="dxa"/>
          </w:tcPr>
          <w:p w14:paraId="20A4A776">
            <w:pPr>
              <w:rPr>
                <w:vertAlign w:val="baseline"/>
              </w:rPr>
            </w:pPr>
          </w:p>
        </w:tc>
        <w:tc>
          <w:tcPr>
            <w:tcW w:w="1620" w:type="dxa"/>
          </w:tcPr>
          <w:p w14:paraId="310FD376">
            <w:pPr>
              <w:rPr>
                <w:vertAlign w:val="baseline"/>
              </w:rPr>
            </w:pPr>
          </w:p>
        </w:tc>
      </w:tr>
      <w:tr w14:paraId="6835FE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6" w:type="dxa"/>
            <w:vAlign w:val="center"/>
          </w:tcPr>
          <w:p w14:paraId="2BF39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865" w:type="dxa"/>
            <w:vAlign w:val="center"/>
          </w:tcPr>
          <w:p w14:paraId="2FAEC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主扩线阵低音</w:t>
            </w:r>
          </w:p>
        </w:tc>
        <w:tc>
          <w:tcPr>
            <w:tcW w:w="1035" w:type="dxa"/>
            <w:vAlign w:val="bottom"/>
          </w:tcPr>
          <w:p w14:paraId="36394B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2只</w:t>
            </w:r>
          </w:p>
        </w:tc>
        <w:tc>
          <w:tcPr>
            <w:tcW w:w="1485" w:type="dxa"/>
            <w:vAlign w:val="bottom"/>
          </w:tcPr>
          <w:p w14:paraId="79D071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25" w:type="dxa"/>
            <w:vAlign w:val="bottom"/>
          </w:tcPr>
          <w:p w14:paraId="17F525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930" w:type="dxa"/>
          </w:tcPr>
          <w:p w14:paraId="20AE071E">
            <w:pPr>
              <w:rPr>
                <w:vertAlign w:val="baseline"/>
              </w:rPr>
            </w:pPr>
          </w:p>
        </w:tc>
        <w:tc>
          <w:tcPr>
            <w:tcW w:w="1620" w:type="dxa"/>
          </w:tcPr>
          <w:p w14:paraId="4ECBBD06">
            <w:pPr>
              <w:rPr>
                <w:vertAlign w:val="baseline"/>
              </w:rPr>
            </w:pPr>
          </w:p>
        </w:tc>
      </w:tr>
      <w:tr w14:paraId="581B11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6" w:type="dxa"/>
            <w:vAlign w:val="center"/>
          </w:tcPr>
          <w:p w14:paraId="5A975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865" w:type="dxa"/>
            <w:vAlign w:val="center"/>
          </w:tcPr>
          <w:p w14:paraId="77233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线阵吊架</w:t>
            </w:r>
          </w:p>
        </w:tc>
        <w:tc>
          <w:tcPr>
            <w:tcW w:w="1035" w:type="dxa"/>
            <w:vAlign w:val="bottom"/>
          </w:tcPr>
          <w:p w14:paraId="7F658F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2台</w:t>
            </w:r>
          </w:p>
        </w:tc>
        <w:tc>
          <w:tcPr>
            <w:tcW w:w="1485" w:type="dxa"/>
            <w:vAlign w:val="bottom"/>
          </w:tcPr>
          <w:p w14:paraId="12CA44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25" w:type="dxa"/>
            <w:vAlign w:val="bottom"/>
          </w:tcPr>
          <w:p w14:paraId="0572E8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930" w:type="dxa"/>
          </w:tcPr>
          <w:p w14:paraId="719E32D1">
            <w:pPr>
              <w:rPr>
                <w:vertAlign w:val="baseline"/>
              </w:rPr>
            </w:pPr>
          </w:p>
        </w:tc>
        <w:tc>
          <w:tcPr>
            <w:tcW w:w="1620" w:type="dxa"/>
          </w:tcPr>
          <w:p w14:paraId="57A1F3F5">
            <w:pPr>
              <w:rPr>
                <w:vertAlign w:val="baseline"/>
              </w:rPr>
            </w:pPr>
          </w:p>
        </w:tc>
      </w:tr>
      <w:tr w14:paraId="265687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1126" w:type="dxa"/>
            <w:vAlign w:val="center"/>
          </w:tcPr>
          <w:p w14:paraId="260D3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865" w:type="dxa"/>
            <w:vAlign w:val="center"/>
          </w:tcPr>
          <w:p w14:paraId="5F28C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主扩线阵功放</w:t>
            </w:r>
          </w:p>
        </w:tc>
        <w:tc>
          <w:tcPr>
            <w:tcW w:w="1035" w:type="dxa"/>
            <w:vAlign w:val="bottom"/>
          </w:tcPr>
          <w:p w14:paraId="3044E0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2台</w:t>
            </w:r>
          </w:p>
        </w:tc>
        <w:tc>
          <w:tcPr>
            <w:tcW w:w="1485" w:type="dxa"/>
            <w:vAlign w:val="bottom"/>
          </w:tcPr>
          <w:p w14:paraId="7A3572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25" w:type="dxa"/>
            <w:vAlign w:val="bottom"/>
          </w:tcPr>
          <w:p w14:paraId="78A651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930" w:type="dxa"/>
          </w:tcPr>
          <w:p w14:paraId="056C044D">
            <w:pPr>
              <w:rPr>
                <w:vertAlign w:val="baseline"/>
              </w:rPr>
            </w:pPr>
          </w:p>
        </w:tc>
        <w:tc>
          <w:tcPr>
            <w:tcW w:w="1620" w:type="dxa"/>
          </w:tcPr>
          <w:p w14:paraId="19106EC7">
            <w:pPr>
              <w:rPr>
                <w:vertAlign w:val="baseline"/>
              </w:rPr>
            </w:pPr>
          </w:p>
        </w:tc>
      </w:tr>
      <w:tr w14:paraId="7F14AF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6" w:type="dxa"/>
            <w:vAlign w:val="center"/>
          </w:tcPr>
          <w:p w14:paraId="5144F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2865" w:type="dxa"/>
            <w:vAlign w:val="center"/>
          </w:tcPr>
          <w:p w14:paraId="0DF57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返听音箱</w:t>
            </w:r>
          </w:p>
        </w:tc>
        <w:tc>
          <w:tcPr>
            <w:tcW w:w="1035" w:type="dxa"/>
            <w:vAlign w:val="bottom"/>
          </w:tcPr>
          <w:p w14:paraId="6B8101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2只</w:t>
            </w:r>
          </w:p>
        </w:tc>
        <w:tc>
          <w:tcPr>
            <w:tcW w:w="1485" w:type="dxa"/>
            <w:vAlign w:val="bottom"/>
          </w:tcPr>
          <w:p w14:paraId="3DE10D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25" w:type="dxa"/>
            <w:vAlign w:val="bottom"/>
          </w:tcPr>
          <w:p w14:paraId="7C5849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930" w:type="dxa"/>
          </w:tcPr>
          <w:p w14:paraId="5764EE6E">
            <w:pPr>
              <w:rPr>
                <w:vertAlign w:val="baseline"/>
              </w:rPr>
            </w:pPr>
          </w:p>
        </w:tc>
        <w:tc>
          <w:tcPr>
            <w:tcW w:w="1620" w:type="dxa"/>
          </w:tcPr>
          <w:p w14:paraId="1E6D8CC7">
            <w:pPr>
              <w:rPr>
                <w:vertAlign w:val="baseline"/>
              </w:rPr>
            </w:pPr>
          </w:p>
        </w:tc>
      </w:tr>
      <w:tr w14:paraId="7B98D4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6" w:type="dxa"/>
            <w:vAlign w:val="center"/>
          </w:tcPr>
          <w:p w14:paraId="10CCE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2865" w:type="dxa"/>
            <w:vAlign w:val="center"/>
          </w:tcPr>
          <w:p w14:paraId="5E848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返听功放</w:t>
            </w:r>
          </w:p>
        </w:tc>
        <w:tc>
          <w:tcPr>
            <w:tcW w:w="1035" w:type="dxa"/>
            <w:vAlign w:val="bottom"/>
          </w:tcPr>
          <w:p w14:paraId="637883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1台</w:t>
            </w:r>
          </w:p>
        </w:tc>
        <w:tc>
          <w:tcPr>
            <w:tcW w:w="1485" w:type="dxa"/>
            <w:vAlign w:val="bottom"/>
          </w:tcPr>
          <w:p w14:paraId="5025ED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25" w:type="dxa"/>
            <w:vAlign w:val="bottom"/>
          </w:tcPr>
          <w:p w14:paraId="198D5C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930" w:type="dxa"/>
          </w:tcPr>
          <w:p w14:paraId="7A550631">
            <w:pPr>
              <w:rPr>
                <w:vertAlign w:val="baseline"/>
              </w:rPr>
            </w:pPr>
          </w:p>
        </w:tc>
        <w:tc>
          <w:tcPr>
            <w:tcW w:w="1620" w:type="dxa"/>
          </w:tcPr>
          <w:p w14:paraId="2A8472D3">
            <w:pPr>
              <w:rPr>
                <w:vertAlign w:val="baseline"/>
              </w:rPr>
            </w:pPr>
          </w:p>
        </w:tc>
      </w:tr>
      <w:tr w14:paraId="2BD69B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6" w:type="dxa"/>
            <w:vAlign w:val="center"/>
          </w:tcPr>
          <w:p w14:paraId="7B82B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2865" w:type="dxa"/>
            <w:vAlign w:val="center"/>
          </w:tcPr>
          <w:p w14:paraId="13251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专业调音台</w:t>
            </w:r>
          </w:p>
        </w:tc>
        <w:tc>
          <w:tcPr>
            <w:tcW w:w="1035" w:type="dxa"/>
            <w:vAlign w:val="bottom"/>
          </w:tcPr>
          <w:p w14:paraId="189074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1台</w:t>
            </w:r>
          </w:p>
        </w:tc>
        <w:tc>
          <w:tcPr>
            <w:tcW w:w="1485" w:type="dxa"/>
            <w:vAlign w:val="bottom"/>
          </w:tcPr>
          <w:p w14:paraId="73E66A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25" w:type="dxa"/>
            <w:vAlign w:val="bottom"/>
          </w:tcPr>
          <w:p w14:paraId="53642E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930" w:type="dxa"/>
          </w:tcPr>
          <w:p w14:paraId="3C7BA958">
            <w:pPr>
              <w:rPr>
                <w:vertAlign w:val="baseline"/>
              </w:rPr>
            </w:pPr>
          </w:p>
        </w:tc>
        <w:tc>
          <w:tcPr>
            <w:tcW w:w="1620" w:type="dxa"/>
          </w:tcPr>
          <w:p w14:paraId="61498679">
            <w:pPr>
              <w:rPr>
                <w:vertAlign w:val="baseline"/>
              </w:rPr>
            </w:pPr>
          </w:p>
        </w:tc>
      </w:tr>
      <w:tr w14:paraId="5DF245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6" w:type="dxa"/>
            <w:vAlign w:val="center"/>
          </w:tcPr>
          <w:p w14:paraId="70017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2865" w:type="dxa"/>
            <w:vAlign w:val="center"/>
          </w:tcPr>
          <w:p w14:paraId="52BE4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音频信号处理器</w:t>
            </w:r>
          </w:p>
        </w:tc>
        <w:tc>
          <w:tcPr>
            <w:tcW w:w="1035" w:type="dxa"/>
            <w:vAlign w:val="bottom"/>
          </w:tcPr>
          <w:p w14:paraId="75BF5A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1台</w:t>
            </w:r>
          </w:p>
        </w:tc>
        <w:tc>
          <w:tcPr>
            <w:tcW w:w="1485" w:type="dxa"/>
            <w:vAlign w:val="bottom"/>
          </w:tcPr>
          <w:p w14:paraId="324400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25" w:type="dxa"/>
            <w:vAlign w:val="bottom"/>
          </w:tcPr>
          <w:p w14:paraId="737E1C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930" w:type="dxa"/>
          </w:tcPr>
          <w:p w14:paraId="2A2CD581">
            <w:pPr>
              <w:rPr>
                <w:vertAlign w:val="baseline"/>
              </w:rPr>
            </w:pPr>
          </w:p>
        </w:tc>
        <w:tc>
          <w:tcPr>
            <w:tcW w:w="1620" w:type="dxa"/>
          </w:tcPr>
          <w:p w14:paraId="68B5D771">
            <w:pPr>
              <w:rPr>
                <w:vertAlign w:val="baseline"/>
              </w:rPr>
            </w:pPr>
          </w:p>
        </w:tc>
      </w:tr>
      <w:tr w14:paraId="6A7C31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6" w:type="dxa"/>
            <w:vAlign w:val="center"/>
          </w:tcPr>
          <w:p w14:paraId="4BA5F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2865" w:type="dxa"/>
            <w:vAlign w:val="center"/>
          </w:tcPr>
          <w:p w14:paraId="4D268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电源时器</w:t>
            </w:r>
          </w:p>
        </w:tc>
        <w:tc>
          <w:tcPr>
            <w:tcW w:w="1035" w:type="dxa"/>
            <w:vAlign w:val="bottom"/>
          </w:tcPr>
          <w:p w14:paraId="314F44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1台</w:t>
            </w:r>
          </w:p>
        </w:tc>
        <w:tc>
          <w:tcPr>
            <w:tcW w:w="1485" w:type="dxa"/>
            <w:vAlign w:val="bottom"/>
          </w:tcPr>
          <w:p w14:paraId="33AFE9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25" w:type="dxa"/>
            <w:vAlign w:val="bottom"/>
          </w:tcPr>
          <w:p w14:paraId="0865AE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930" w:type="dxa"/>
          </w:tcPr>
          <w:p w14:paraId="3DB92E61">
            <w:pPr>
              <w:rPr>
                <w:vertAlign w:val="baseline"/>
              </w:rPr>
            </w:pPr>
          </w:p>
        </w:tc>
        <w:tc>
          <w:tcPr>
            <w:tcW w:w="1620" w:type="dxa"/>
          </w:tcPr>
          <w:p w14:paraId="53733E40">
            <w:pPr>
              <w:rPr>
                <w:vertAlign w:val="baseline"/>
              </w:rPr>
            </w:pPr>
          </w:p>
        </w:tc>
      </w:tr>
      <w:tr w14:paraId="612882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6" w:type="dxa"/>
            <w:vAlign w:val="center"/>
          </w:tcPr>
          <w:p w14:paraId="4D7B0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2865" w:type="dxa"/>
            <w:vAlign w:val="center"/>
          </w:tcPr>
          <w:p w14:paraId="436E1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无线双手持话筒</w:t>
            </w:r>
          </w:p>
        </w:tc>
        <w:tc>
          <w:tcPr>
            <w:tcW w:w="1035" w:type="dxa"/>
            <w:vAlign w:val="bottom"/>
          </w:tcPr>
          <w:p w14:paraId="2F16B2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2台</w:t>
            </w:r>
          </w:p>
        </w:tc>
        <w:tc>
          <w:tcPr>
            <w:tcW w:w="1485" w:type="dxa"/>
            <w:vAlign w:val="bottom"/>
          </w:tcPr>
          <w:p w14:paraId="1C0A21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25" w:type="dxa"/>
            <w:vAlign w:val="bottom"/>
          </w:tcPr>
          <w:p w14:paraId="374A45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930" w:type="dxa"/>
          </w:tcPr>
          <w:p w14:paraId="34817A29">
            <w:pPr>
              <w:rPr>
                <w:vertAlign w:val="baseline"/>
              </w:rPr>
            </w:pPr>
          </w:p>
        </w:tc>
        <w:tc>
          <w:tcPr>
            <w:tcW w:w="1620" w:type="dxa"/>
          </w:tcPr>
          <w:p w14:paraId="7DEDA4EF">
            <w:pPr>
              <w:rPr>
                <w:vertAlign w:val="baseline"/>
              </w:rPr>
            </w:pPr>
          </w:p>
        </w:tc>
      </w:tr>
      <w:tr w14:paraId="3BA8AB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6" w:type="dxa"/>
            <w:vAlign w:val="center"/>
          </w:tcPr>
          <w:p w14:paraId="2F14E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2865" w:type="dxa"/>
            <w:vAlign w:val="center"/>
          </w:tcPr>
          <w:p w14:paraId="5E741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无线双头戴话筒</w:t>
            </w:r>
          </w:p>
        </w:tc>
        <w:tc>
          <w:tcPr>
            <w:tcW w:w="1035" w:type="dxa"/>
            <w:vAlign w:val="bottom"/>
          </w:tcPr>
          <w:p w14:paraId="3BE469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2台</w:t>
            </w:r>
          </w:p>
        </w:tc>
        <w:tc>
          <w:tcPr>
            <w:tcW w:w="1485" w:type="dxa"/>
            <w:vAlign w:val="bottom"/>
          </w:tcPr>
          <w:p w14:paraId="487724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25" w:type="dxa"/>
            <w:vAlign w:val="bottom"/>
          </w:tcPr>
          <w:p w14:paraId="3B1BB7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930" w:type="dxa"/>
          </w:tcPr>
          <w:p w14:paraId="2C9211B1">
            <w:pPr>
              <w:rPr>
                <w:vertAlign w:val="baseline"/>
              </w:rPr>
            </w:pPr>
          </w:p>
        </w:tc>
        <w:tc>
          <w:tcPr>
            <w:tcW w:w="1620" w:type="dxa"/>
          </w:tcPr>
          <w:p w14:paraId="5F3C6D17">
            <w:pPr>
              <w:rPr>
                <w:vertAlign w:val="baseline"/>
              </w:rPr>
            </w:pPr>
          </w:p>
        </w:tc>
      </w:tr>
      <w:tr w14:paraId="7F5D22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6" w:type="dxa"/>
            <w:vAlign w:val="center"/>
          </w:tcPr>
          <w:p w14:paraId="1052D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865" w:type="dxa"/>
            <w:vAlign w:val="center"/>
          </w:tcPr>
          <w:p w14:paraId="5C1E1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立式双咪合唱话筒</w:t>
            </w:r>
          </w:p>
        </w:tc>
        <w:tc>
          <w:tcPr>
            <w:tcW w:w="1035" w:type="dxa"/>
            <w:vAlign w:val="bottom"/>
          </w:tcPr>
          <w:p w14:paraId="31385C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1台</w:t>
            </w:r>
          </w:p>
        </w:tc>
        <w:tc>
          <w:tcPr>
            <w:tcW w:w="1485" w:type="dxa"/>
            <w:vAlign w:val="bottom"/>
          </w:tcPr>
          <w:p w14:paraId="3EA9DC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25" w:type="dxa"/>
            <w:vAlign w:val="bottom"/>
          </w:tcPr>
          <w:p w14:paraId="491922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930" w:type="dxa"/>
          </w:tcPr>
          <w:p w14:paraId="67927AA7">
            <w:pPr>
              <w:rPr>
                <w:vertAlign w:val="baseline"/>
              </w:rPr>
            </w:pPr>
          </w:p>
        </w:tc>
        <w:tc>
          <w:tcPr>
            <w:tcW w:w="1620" w:type="dxa"/>
          </w:tcPr>
          <w:p w14:paraId="5CA0AABF">
            <w:pPr>
              <w:rPr>
                <w:vertAlign w:val="baseline"/>
              </w:rPr>
            </w:pPr>
          </w:p>
        </w:tc>
      </w:tr>
      <w:tr w14:paraId="7A54A0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6" w:type="dxa"/>
            <w:vAlign w:val="center"/>
          </w:tcPr>
          <w:p w14:paraId="6566E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2865" w:type="dxa"/>
            <w:vAlign w:val="center"/>
          </w:tcPr>
          <w:p w14:paraId="32C5F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机柜</w:t>
            </w:r>
          </w:p>
        </w:tc>
        <w:tc>
          <w:tcPr>
            <w:tcW w:w="1035" w:type="dxa"/>
            <w:vAlign w:val="bottom"/>
          </w:tcPr>
          <w:p w14:paraId="495768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</w:t>
            </w:r>
          </w:p>
        </w:tc>
        <w:tc>
          <w:tcPr>
            <w:tcW w:w="1485" w:type="dxa"/>
            <w:vAlign w:val="bottom"/>
          </w:tcPr>
          <w:p w14:paraId="1158D4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25" w:type="dxa"/>
            <w:vAlign w:val="bottom"/>
          </w:tcPr>
          <w:p w14:paraId="333F42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930" w:type="dxa"/>
          </w:tcPr>
          <w:p w14:paraId="017D2D99">
            <w:pPr>
              <w:rPr>
                <w:vertAlign w:val="baseline"/>
              </w:rPr>
            </w:pPr>
          </w:p>
        </w:tc>
        <w:tc>
          <w:tcPr>
            <w:tcW w:w="1620" w:type="dxa"/>
          </w:tcPr>
          <w:p w14:paraId="694E2836">
            <w:pPr>
              <w:rPr>
                <w:vertAlign w:val="baseline"/>
              </w:rPr>
            </w:pPr>
          </w:p>
        </w:tc>
      </w:tr>
      <w:tr w14:paraId="1D76C2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6" w:type="dxa"/>
            <w:vAlign w:val="bottom"/>
          </w:tcPr>
          <w:p w14:paraId="1928A4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2865" w:type="dxa"/>
            <w:vAlign w:val="center"/>
          </w:tcPr>
          <w:p w14:paraId="19F7B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音箱线</w:t>
            </w:r>
          </w:p>
        </w:tc>
        <w:tc>
          <w:tcPr>
            <w:tcW w:w="1035" w:type="dxa"/>
            <w:vAlign w:val="bottom"/>
          </w:tcPr>
          <w:p w14:paraId="6D22F0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1批</w:t>
            </w:r>
          </w:p>
        </w:tc>
        <w:tc>
          <w:tcPr>
            <w:tcW w:w="1485" w:type="dxa"/>
            <w:vAlign w:val="bottom"/>
          </w:tcPr>
          <w:p w14:paraId="228529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25" w:type="dxa"/>
            <w:vAlign w:val="bottom"/>
          </w:tcPr>
          <w:p w14:paraId="09A874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930" w:type="dxa"/>
          </w:tcPr>
          <w:p w14:paraId="31702941">
            <w:pPr>
              <w:rPr>
                <w:vertAlign w:val="baseline"/>
              </w:rPr>
            </w:pPr>
          </w:p>
        </w:tc>
        <w:tc>
          <w:tcPr>
            <w:tcW w:w="1620" w:type="dxa"/>
          </w:tcPr>
          <w:p w14:paraId="19253533">
            <w:pPr>
              <w:rPr>
                <w:vertAlign w:val="baseline"/>
              </w:rPr>
            </w:pPr>
          </w:p>
        </w:tc>
      </w:tr>
      <w:tr w14:paraId="4DAB48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6" w:type="dxa"/>
            <w:vAlign w:val="bottom"/>
          </w:tcPr>
          <w:p w14:paraId="7440CB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865" w:type="dxa"/>
            <w:vAlign w:val="center"/>
          </w:tcPr>
          <w:p w14:paraId="7CD38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音频线</w:t>
            </w:r>
          </w:p>
        </w:tc>
        <w:tc>
          <w:tcPr>
            <w:tcW w:w="1035" w:type="dxa"/>
            <w:vAlign w:val="bottom"/>
          </w:tcPr>
          <w:p w14:paraId="2D59A8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1批</w:t>
            </w:r>
          </w:p>
        </w:tc>
        <w:tc>
          <w:tcPr>
            <w:tcW w:w="1485" w:type="dxa"/>
            <w:vAlign w:val="bottom"/>
          </w:tcPr>
          <w:p w14:paraId="070DA9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25" w:type="dxa"/>
            <w:vAlign w:val="bottom"/>
          </w:tcPr>
          <w:p w14:paraId="7851CE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930" w:type="dxa"/>
          </w:tcPr>
          <w:p w14:paraId="696664AD">
            <w:pPr>
              <w:rPr>
                <w:vertAlign w:val="baseline"/>
              </w:rPr>
            </w:pPr>
          </w:p>
        </w:tc>
        <w:tc>
          <w:tcPr>
            <w:tcW w:w="1620" w:type="dxa"/>
          </w:tcPr>
          <w:p w14:paraId="005B4B54">
            <w:pPr>
              <w:rPr>
                <w:vertAlign w:val="baseline"/>
              </w:rPr>
            </w:pPr>
          </w:p>
        </w:tc>
      </w:tr>
      <w:tr w14:paraId="147F77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6" w:type="dxa"/>
            <w:vAlign w:val="bottom"/>
          </w:tcPr>
          <w:p w14:paraId="102FD9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2865" w:type="dxa"/>
            <w:vAlign w:val="center"/>
          </w:tcPr>
          <w:p w14:paraId="717B5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辅材配件</w:t>
            </w:r>
          </w:p>
        </w:tc>
        <w:tc>
          <w:tcPr>
            <w:tcW w:w="1035" w:type="dxa"/>
            <w:vAlign w:val="bottom"/>
          </w:tcPr>
          <w:p w14:paraId="12D9A1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1批</w:t>
            </w:r>
          </w:p>
        </w:tc>
        <w:tc>
          <w:tcPr>
            <w:tcW w:w="1485" w:type="dxa"/>
            <w:vAlign w:val="bottom"/>
          </w:tcPr>
          <w:p w14:paraId="48CDC0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25" w:type="dxa"/>
            <w:vAlign w:val="bottom"/>
          </w:tcPr>
          <w:p w14:paraId="09C8F3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930" w:type="dxa"/>
          </w:tcPr>
          <w:p w14:paraId="06FF7751">
            <w:pPr>
              <w:rPr>
                <w:vertAlign w:val="baseline"/>
              </w:rPr>
            </w:pPr>
          </w:p>
        </w:tc>
        <w:tc>
          <w:tcPr>
            <w:tcW w:w="1620" w:type="dxa"/>
          </w:tcPr>
          <w:p w14:paraId="4981AF8B">
            <w:pPr>
              <w:rPr>
                <w:vertAlign w:val="baseline"/>
              </w:rPr>
            </w:pPr>
          </w:p>
        </w:tc>
      </w:tr>
      <w:tr w14:paraId="4CB798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6" w:type="dxa"/>
            <w:vAlign w:val="bottom"/>
          </w:tcPr>
          <w:p w14:paraId="1E43D8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2865" w:type="dxa"/>
            <w:vAlign w:val="center"/>
          </w:tcPr>
          <w:p w14:paraId="6DC1E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LED面光灯</w:t>
            </w:r>
          </w:p>
        </w:tc>
        <w:tc>
          <w:tcPr>
            <w:tcW w:w="1035" w:type="dxa"/>
            <w:vAlign w:val="bottom"/>
          </w:tcPr>
          <w:p w14:paraId="1D8518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6台</w:t>
            </w:r>
          </w:p>
        </w:tc>
        <w:tc>
          <w:tcPr>
            <w:tcW w:w="1485" w:type="dxa"/>
            <w:vAlign w:val="bottom"/>
          </w:tcPr>
          <w:p w14:paraId="5EBC6A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25" w:type="dxa"/>
            <w:vAlign w:val="bottom"/>
          </w:tcPr>
          <w:p w14:paraId="3EBC34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930" w:type="dxa"/>
          </w:tcPr>
          <w:p w14:paraId="763F701C">
            <w:pPr>
              <w:rPr>
                <w:vertAlign w:val="baseline"/>
              </w:rPr>
            </w:pPr>
          </w:p>
        </w:tc>
        <w:tc>
          <w:tcPr>
            <w:tcW w:w="1620" w:type="dxa"/>
          </w:tcPr>
          <w:p w14:paraId="0680839D">
            <w:pPr>
              <w:rPr>
                <w:vertAlign w:val="baseline"/>
              </w:rPr>
            </w:pPr>
          </w:p>
        </w:tc>
      </w:tr>
      <w:tr w14:paraId="7273BD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6" w:type="dxa"/>
            <w:vAlign w:val="bottom"/>
          </w:tcPr>
          <w:p w14:paraId="4E8FFF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2865" w:type="dxa"/>
            <w:vAlign w:val="center"/>
          </w:tcPr>
          <w:p w14:paraId="2ABA0E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LED染色PAR灯</w:t>
            </w:r>
          </w:p>
        </w:tc>
        <w:tc>
          <w:tcPr>
            <w:tcW w:w="1035" w:type="dxa"/>
            <w:vAlign w:val="bottom"/>
          </w:tcPr>
          <w:p w14:paraId="0F82FB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6台</w:t>
            </w:r>
          </w:p>
        </w:tc>
        <w:tc>
          <w:tcPr>
            <w:tcW w:w="1485" w:type="dxa"/>
            <w:vAlign w:val="bottom"/>
          </w:tcPr>
          <w:p w14:paraId="437D62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25" w:type="dxa"/>
            <w:vAlign w:val="bottom"/>
          </w:tcPr>
          <w:p w14:paraId="0A4045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930" w:type="dxa"/>
          </w:tcPr>
          <w:p w14:paraId="6C56DD27">
            <w:pPr>
              <w:rPr>
                <w:vertAlign w:val="baseline"/>
              </w:rPr>
            </w:pPr>
          </w:p>
        </w:tc>
        <w:tc>
          <w:tcPr>
            <w:tcW w:w="1620" w:type="dxa"/>
          </w:tcPr>
          <w:p w14:paraId="1E827ED3">
            <w:pPr>
              <w:rPr>
                <w:vertAlign w:val="baseline"/>
              </w:rPr>
            </w:pPr>
          </w:p>
        </w:tc>
      </w:tr>
      <w:tr w14:paraId="19170A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6" w:type="dxa"/>
            <w:vAlign w:val="bottom"/>
          </w:tcPr>
          <w:p w14:paraId="198A55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2865" w:type="dxa"/>
            <w:vAlign w:val="center"/>
          </w:tcPr>
          <w:p w14:paraId="697C0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LED染色PAR灯</w:t>
            </w:r>
          </w:p>
        </w:tc>
        <w:tc>
          <w:tcPr>
            <w:tcW w:w="1035" w:type="dxa"/>
            <w:vAlign w:val="bottom"/>
          </w:tcPr>
          <w:p w14:paraId="1DDF40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6台</w:t>
            </w:r>
          </w:p>
        </w:tc>
        <w:tc>
          <w:tcPr>
            <w:tcW w:w="1485" w:type="dxa"/>
            <w:vAlign w:val="bottom"/>
          </w:tcPr>
          <w:p w14:paraId="5A353F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25" w:type="dxa"/>
            <w:vAlign w:val="bottom"/>
          </w:tcPr>
          <w:p w14:paraId="149DEB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930" w:type="dxa"/>
          </w:tcPr>
          <w:p w14:paraId="45BB00AB">
            <w:pPr>
              <w:rPr>
                <w:vertAlign w:val="baseline"/>
              </w:rPr>
            </w:pPr>
          </w:p>
        </w:tc>
        <w:tc>
          <w:tcPr>
            <w:tcW w:w="1620" w:type="dxa"/>
          </w:tcPr>
          <w:p w14:paraId="64618EF8">
            <w:pPr>
              <w:rPr>
                <w:vertAlign w:val="baseline"/>
              </w:rPr>
            </w:pPr>
          </w:p>
        </w:tc>
      </w:tr>
      <w:tr w14:paraId="7B1CBC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6" w:type="dxa"/>
            <w:vAlign w:val="bottom"/>
          </w:tcPr>
          <w:p w14:paraId="52B355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2865" w:type="dxa"/>
            <w:vAlign w:val="center"/>
          </w:tcPr>
          <w:p w14:paraId="048B5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信号放大器</w:t>
            </w:r>
          </w:p>
        </w:tc>
        <w:tc>
          <w:tcPr>
            <w:tcW w:w="1035" w:type="dxa"/>
            <w:vAlign w:val="bottom"/>
          </w:tcPr>
          <w:p w14:paraId="40D57C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1台</w:t>
            </w:r>
          </w:p>
        </w:tc>
        <w:tc>
          <w:tcPr>
            <w:tcW w:w="1485" w:type="dxa"/>
            <w:vAlign w:val="bottom"/>
          </w:tcPr>
          <w:p w14:paraId="5B3D38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25" w:type="dxa"/>
            <w:vAlign w:val="bottom"/>
          </w:tcPr>
          <w:p w14:paraId="59E532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930" w:type="dxa"/>
          </w:tcPr>
          <w:p w14:paraId="64A39725">
            <w:pPr>
              <w:rPr>
                <w:vertAlign w:val="baseline"/>
              </w:rPr>
            </w:pPr>
          </w:p>
        </w:tc>
        <w:tc>
          <w:tcPr>
            <w:tcW w:w="1620" w:type="dxa"/>
          </w:tcPr>
          <w:p w14:paraId="749A55AF">
            <w:pPr>
              <w:rPr>
                <w:vertAlign w:val="baseline"/>
              </w:rPr>
            </w:pPr>
          </w:p>
        </w:tc>
      </w:tr>
      <w:tr w14:paraId="307383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6" w:type="dxa"/>
            <w:vAlign w:val="bottom"/>
          </w:tcPr>
          <w:p w14:paraId="6E1FEA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2865" w:type="dxa"/>
            <w:vAlign w:val="center"/>
          </w:tcPr>
          <w:p w14:paraId="257D9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电脑灯控制台</w:t>
            </w:r>
          </w:p>
        </w:tc>
        <w:tc>
          <w:tcPr>
            <w:tcW w:w="1035" w:type="dxa"/>
            <w:vAlign w:val="bottom"/>
          </w:tcPr>
          <w:p w14:paraId="77C64A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1台</w:t>
            </w:r>
          </w:p>
        </w:tc>
        <w:tc>
          <w:tcPr>
            <w:tcW w:w="1485" w:type="dxa"/>
            <w:vAlign w:val="bottom"/>
          </w:tcPr>
          <w:p w14:paraId="19DE02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25" w:type="dxa"/>
            <w:vAlign w:val="bottom"/>
          </w:tcPr>
          <w:p w14:paraId="09C0BB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930" w:type="dxa"/>
          </w:tcPr>
          <w:p w14:paraId="1343F7DB">
            <w:pPr>
              <w:rPr>
                <w:vertAlign w:val="baseline"/>
              </w:rPr>
            </w:pPr>
          </w:p>
        </w:tc>
        <w:tc>
          <w:tcPr>
            <w:tcW w:w="1620" w:type="dxa"/>
          </w:tcPr>
          <w:p w14:paraId="33B8A051">
            <w:pPr>
              <w:rPr>
                <w:vertAlign w:val="baseline"/>
              </w:rPr>
            </w:pPr>
          </w:p>
        </w:tc>
      </w:tr>
      <w:tr w14:paraId="59C8EE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6" w:type="dxa"/>
            <w:vAlign w:val="bottom"/>
          </w:tcPr>
          <w:p w14:paraId="6C0528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2865" w:type="dxa"/>
            <w:vAlign w:val="center"/>
          </w:tcPr>
          <w:p w14:paraId="01BCB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电源直通箱</w:t>
            </w:r>
          </w:p>
        </w:tc>
        <w:tc>
          <w:tcPr>
            <w:tcW w:w="1035" w:type="dxa"/>
            <w:vAlign w:val="bottom"/>
          </w:tcPr>
          <w:p w14:paraId="1CC3AE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1台</w:t>
            </w:r>
          </w:p>
        </w:tc>
        <w:tc>
          <w:tcPr>
            <w:tcW w:w="1485" w:type="dxa"/>
            <w:vAlign w:val="bottom"/>
          </w:tcPr>
          <w:p w14:paraId="791AC9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25" w:type="dxa"/>
            <w:vAlign w:val="bottom"/>
          </w:tcPr>
          <w:p w14:paraId="4109C5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930" w:type="dxa"/>
          </w:tcPr>
          <w:p w14:paraId="2DB06275">
            <w:pPr>
              <w:rPr>
                <w:vertAlign w:val="baseline"/>
              </w:rPr>
            </w:pPr>
          </w:p>
        </w:tc>
        <w:tc>
          <w:tcPr>
            <w:tcW w:w="1620" w:type="dxa"/>
          </w:tcPr>
          <w:p w14:paraId="37922DD8">
            <w:pPr>
              <w:rPr>
                <w:vertAlign w:val="baseline"/>
              </w:rPr>
            </w:pPr>
          </w:p>
        </w:tc>
      </w:tr>
      <w:tr w14:paraId="3E08A4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6" w:type="dxa"/>
            <w:vAlign w:val="bottom"/>
          </w:tcPr>
          <w:p w14:paraId="473953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2865" w:type="dxa"/>
            <w:vAlign w:val="center"/>
          </w:tcPr>
          <w:p w14:paraId="47B43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铝合金灯钩</w:t>
            </w:r>
          </w:p>
        </w:tc>
        <w:tc>
          <w:tcPr>
            <w:tcW w:w="1035" w:type="dxa"/>
            <w:vAlign w:val="bottom"/>
          </w:tcPr>
          <w:p w14:paraId="034127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18只</w:t>
            </w:r>
          </w:p>
        </w:tc>
        <w:tc>
          <w:tcPr>
            <w:tcW w:w="1485" w:type="dxa"/>
            <w:vAlign w:val="bottom"/>
          </w:tcPr>
          <w:p w14:paraId="237B38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25" w:type="dxa"/>
            <w:vAlign w:val="bottom"/>
          </w:tcPr>
          <w:p w14:paraId="4922A3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930" w:type="dxa"/>
          </w:tcPr>
          <w:p w14:paraId="7D836782">
            <w:pPr>
              <w:rPr>
                <w:vertAlign w:val="baseline"/>
              </w:rPr>
            </w:pPr>
          </w:p>
        </w:tc>
        <w:tc>
          <w:tcPr>
            <w:tcW w:w="1620" w:type="dxa"/>
          </w:tcPr>
          <w:p w14:paraId="1D198587">
            <w:pPr>
              <w:rPr>
                <w:vertAlign w:val="baseline"/>
              </w:rPr>
            </w:pPr>
          </w:p>
        </w:tc>
      </w:tr>
      <w:tr w14:paraId="0D6951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6" w:type="dxa"/>
            <w:vAlign w:val="bottom"/>
          </w:tcPr>
          <w:p w14:paraId="4E8C5A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2865" w:type="dxa"/>
            <w:vAlign w:val="center"/>
          </w:tcPr>
          <w:p w14:paraId="12A57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安全链</w:t>
            </w:r>
          </w:p>
        </w:tc>
        <w:tc>
          <w:tcPr>
            <w:tcW w:w="1035" w:type="dxa"/>
            <w:vAlign w:val="bottom"/>
          </w:tcPr>
          <w:p w14:paraId="49651F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18根</w:t>
            </w:r>
          </w:p>
        </w:tc>
        <w:tc>
          <w:tcPr>
            <w:tcW w:w="1485" w:type="dxa"/>
            <w:vAlign w:val="bottom"/>
          </w:tcPr>
          <w:p w14:paraId="081892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25" w:type="dxa"/>
            <w:vAlign w:val="bottom"/>
          </w:tcPr>
          <w:p w14:paraId="29C741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930" w:type="dxa"/>
          </w:tcPr>
          <w:p w14:paraId="0196758B">
            <w:pPr>
              <w:rPr>
                <w:vertAlign w:val="baseline"/>
              </w:rPr>
            </w:pPr>
          </w:p>
        </w:tc>
        <w:tc>
          <w:tcPr>
            <w:tcW w:w="1620" w:type="dxa"/>
          </w:tcPr>
          <w:p w14:paraId="7E17895C">
            <w:pPr>
              <w:rPr>
                <w:vertAlign w:val="baseline"/>
              </w:rPr>
            </w:pPr>
          </w:p>
        </w:tc>
      </w:tr>
      <w:tr w14:paraId="1ED0D1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6" w:type="dxa"/>
            <w:vAlign w:val="bottom"/>
          </w:tcPr>
          <w:p w14:paraId="678F06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2865" w:type="dxa"/>
            <w:vAlign w:val="center"/>
          </w:tcPr>
          <w:p w14:paraId="1D022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信号线</w:t>
            </w:r>
          </w:p>
        </w:tc>
        <w:tc>
          <w:tcPr>
            <w:tcW w:w="1035" w:type="dxa"/>
            <w:vAlign w:val="bottom"/>
          </w:tcPr>
          <w:p w14:paraId="328A96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100米</w:t>
            </w:r>
          </w:p>
        </w:tc>
        <w:tc>
          <w:tcPr>
            <w:tcW w:w="1485" w:type="dxa"/>
            <w:vAlign w:val="bottom"/>
          </w:tcPr>
          <w:p w14:paraId="4EE85F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25" w:type="dxa"/>
            <w:vAlign w:val="bottom"/>
          </w:tcPr>
          <w:p w14:paraId="0508F3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930" w:type="dxa"/>
          </w:tcPr>
          <w:p w14:paraId="73AE5D32">
            <w:pPr>
              <w:rPr>
                <w:vertAlign w:val="baseline"/>
              </w:rPr>
            </w:pPr>
          </w:p>
        </w:tc>
        <w:tc>
          <w:tcPr>
            <w:tcW w:w="1620" w:type="dxa"/>
          </w:tcPr>
          <w:p w14:paraId="00115C14">
            <w:pPr>
              <w:rPr>
                <w:vertAlign w:val="baseline"/>
              </w:rPr>
            </w:pPr>
          </w:p>
        </w:tc>
      </w:tr>
      <w:tr w14:paraId="5E6409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6" w:type="dxa"/>
            <w:vAlign w:val="bottom"/>
          </w:tcPr>
          <w:p w14:paraId="5BF2D6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2865" w:type="dxa"/>
            <w:vAlign w:val="center"/>
          </w:tcPr>
          <w:p w14:paraId="4CAC0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电源线</w:t>
            </w:r>
          </w:p>
        </w:tc>
        <w:tc>
          <w:tcPr>
            <w:tcW w:w="1035" w:type="dxa"/>
            <w:vAlign w:val="bottom"/>
          </w:tcPr>
          <w:p w14:paraId="1ACAFB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150米</w:t>
            </w:r>
          </w:p>
        </w:tc>
        <w:tc>
          <w:tcPr>
            <w:tcW w:w="1485" w:type="dxa"/>
            <w:vAlign w:val="bottom"/>
          </w:tcPr>
          <w:p w14:paraId="6BAAA1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25" w:type="dxa"/>
            <w:vAlign w:val="bottom"/>
          </w:tcPr>
          <w:p w14:paraId="2C910B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930" w:type="dxa"/>
          </w:tcPr>
          <w:p w14:paraId="46332222">
            <w:pPr>
              <w:rPr>
                <w:vertAlign w:val="baseline"/>
              </w:rPr>
            </w:pPr>
          </w:p>
        </w:tc>
        <w:tc>
          <w:tcPr>
            <w:tcW w:w="1620" w:type="dxa"/>
          </w:tcPr>
          <w:p w14:paraId="11A7D39D">
            <w:pPr>
              <w:rPr>
                <w:vertAlign w:val="baseline"/>
              </w:rPr>
            </w:pPr>
          </w:p>
        </w:tc>
      </w:tr>
      <w:tr w14:paraId="484B28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6" w:type="dxa"/>
            <w:vAlign w:val="bottom"/>
          </w:tcPr>
          <w:p w14:paraId="3B54BE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2865" w:type="dxa"/>
            <w:vAlign w:val="center"/>
          </w:tcPr>
          <w:p w14:paraId="1AA99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其他辅材</w:t>
            </w:r>
          </w:p>
        </w:tc>
        <w:tc>
          <w:tcPr>
            <w:tcW w:w="1035" w:type="dxa"/>
            <w:vAlign w:val="bottom"/>
          </w:tcPr>
          <w:p w14:paraId="008665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1项</w:t>
            </w:r>
          </w:p>
        </w:tc>
        <w:tc>
          <w:tcPr>
            <w:tcW w:w="1485" w:type="dxa"/>
            <w:vAlign w:val="bottom"/>
          </w:tcPr>
          <w:p w14:paraId="2CA004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25" w:type="dxa"/>
            <w:vAlign w:val="bottom"/>
          </w:tcPr>
          <w:p w14:paraId="1556CD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930" w:type="dxa"/>
          </w:tcPr>
          <w:p w14:paraId="0E545CC5">
            <w:pPr>
              <w:rPr>
                <w:vertAlign w:val="baseline"/>
              </w:rPr>
            </w:pPr>
          </w:p>
        </w:tc>
        <w:tc>
          <w:tcPr>
            <w:tcW w:w="1620" w:type="dxa"/>
          </w:tcPr>
          <w:p w14:paraId="03A053CB">
            <w:pPr>
              <w:rPr>
                <w:vertAlign w:val="baseline"/>
              </w:rPr>
            </w:pPr>
          </w:p>
        </w:tc>
      </w:tr>
      <w:tr w14:paraId="2E9DBF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6" w:type="dxa"/>
            <w:vAlign w:val="bottom"/>
          </w:tcPr>
          <w:p w14:paraId="3FA6B0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2865" w:type="dxa"/>
            <w:vAlign w:val="center"/>
          </w:tcPr>
          <w:p w14:paraId="5D458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灯光吊杆</w:t>
            </w:r>
          </w:p>
        </w:tc>
        <w:tc>
          <w:tcPr>
            <w:tcW w:w="1035" w:type="dxa"/>
            <w:vAlign w:val="bottom"/>
          </w:tcPr>
          <w:p w14:paraId="7459B2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1套</w:t>
            </w:r>
          </w:p>
        </w:tc>
        <w:tc>
          <w:tcPr>
            <w:tcW w:w="1485" w:type="dxa"/>
            <w:vAlign w:val="bottom"/>
          </w:tcPr>
          <w:p w14:paraId="58C60F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25" w:type="dxa"/>
            <w:vAlign w:val="bottom"/>
          </w:tcPr>
          <w:p w14:paraId="1C98AC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930" w:type="dxa"/>
          </w:tcPr>
          <w:p w14:paraId="34840A20">
            <w:pPr>
              <w:rPr>
                <w:vertAlign w:val="baseline"/>
              </w:rPr>
            </w:pPr>
          </w:p>
        </w:tc>
        <w:tc>
          <w:tcPr>
            <w:tcW w:w="1620" w:type="dxa"/>
          </w:tcPr>
          <w:p w14:paraId="241497DF">
            <w:pPr>
              <w:rPr>
                <w:vertAlign w:val="baseline"/>
              </w:rPr>
            </w:pPr>
          </w:p>
        </w:tc>
      </w:tr>
      <w:tr w14:paraId="10A5DB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6" w:type="dxa"/>
            <w:vAlign w:val="bottom"/>
          </w:tcPr>
          <w:p w14:paraId="7DFE2E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2865" w:type="dxa"/>
            <w:shd w:val="clear" w:color="auto" w:fill="auto"/>
            <w:vAlign w:val="center"/>
          </w:tcPr>
          <w:p w14:paraId="20F15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安装费、调试费</w:t>
            </w:r>
          </w:p>
        </w:tc>
        <w:tc>
          <w:tcPr>
            <w:tcW w:w="1035" w:type="dxa"/>
          </w:tcPr>
          <w:p w14:paraId="4B5C4ABC">
            <w:pPr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1项</w:t>
            </w:r>
          </w:p>
        </w:tc>
        <w:tc>
          <w:tcPr>
            <w:tcW w:w="1485" w:type="dxa"/>
          </w:tcPr>
          <w:p w14:paraId="45C3B78D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825" w:type="dxa"/>
          </w:tcPr>
          <w:p w14:paraId="4D7E1D4B">
            <w:pPr>
              <w:ind w:firstLine="840" w:firstLineChars="400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0" w:type="dxa"/>
          </w:tcPr>
          <w:p w14:paraId="54F2AAF1">
            <w:pPr>
              <w:rPr>
                <w:vertAlign w:val="baseline"/>
              </w:rPr>
            </w:pPr>
          </w:p>
        </w:tc>
        <w:tc>
          <w:tcPr>
            <w:tcW w:w="1620" w:type="dxa"/>
          </w:tcPr>
          <w:p w14:paraId="5104A4F1">
            <w:pPr>
              <w:rPr>
                <w:vertAlign w:val="baseline"/>
              </w:rPr>
            </w:pPr>
          </w:p>
        </w:tc>
      </w:tr>
      <w:tr w14:paraId="5FBFDA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7336" w:type="dxa"/>
            <w:gridSpan w:val="5"/>
            <w:vAlign w:val="bottom"/>
          </w:tcPr>
          <w:p w14:paraId="4F78E178">
            <w:pPr>
              <w:ind w:firstLine="840" w:firstLineChars="400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合计金额（元）：</w:t>
            </w:r>
          </w:p>
        </w:tc>
        <w:tc>
          <w:tcPr>
            <w:tcW w:w="2550" w:type="dxa"/>
            <w:gridSpan w:val="2"/>
          </w:tcPr>
          <w:p w14:paraId="6CFC815B">
            <w:pPr>
              <w:rPr>
                <w:vertAlign w:val="baseline"/>
              </w:rPr>
            </w:pPr>
          </w:p>
        </w:tc>
      </w:tr>
    </w:tbl>
    <w:p w14:paraId="044CBF9C">
      <w:pPr>
        <w:pStyle w:val="2"/>
        <w:numPr>
          <w:ilvl w:val="0"/>
          <w:numId w:val="0"/>
        </w:numPr>
        <w:tabs>
          <w:tab w:val="left" w:pos="0"/>
        </w:tabs>
        <w:spacing w:line="360" w:lineRule="auto"/>
        <w:jc w:val="left"/>
        <w:rPr>
          <w:rFonts w:hint="eastAsia" w:hAnsi="宋体" w:eastAsia="宋体" w:cs="宋体"/>
          <w:b/>
          <w:bCs/>
          <w:sz w:val="24"/>
          <w:szCs w:val="24"/>
          <w:lang w:val="en-US" w:eastAsia="zh-CN"/>
        </w:rPr>
      </w:pPr>
    </w:p>
    <w:p w14:paraId="04C1ADA5">
      <w:pPr>
        <w:pStyle w:val="2"/>
        <w:numPr>
          <w:ilvl w:val="0"/>
          <w:numId w:val="0"/>
        </w:numPr>
        <w:tabs>
          <w:tab w:val="left" w:pos="0"/>
        </w:tabs>
        <w:spacing w:line="360" w:lineRule="auto"/>
        <w:jc w:val="left"/>
        <w:rPr>
          <w:rFonts w:hint="eastAsia" w:hAnsi="宋体" w:eastAsia="宋体" w:cs="宋体"/>
          <w:b/>
          <w:bCs/>
          <w:sz w:val="24"/>
          <w:szCs w:val="24"/>
          <w:lang w:val="en-US" w:eastAsia="zh-CN"/>
        </w:rPr>
      </w:pPr>
    </w:p>
    <w:p w14:paraId="3EDA0001">
      <w:pPr>
        <w:pStyle w:val="2"/>
        <w:numPr>
          <w:ilvl w:val="0"/>
          <w:numId w:val="0"/>
        </w:numPr>
        <w:tabs>
          <w:tab w:val="left" w:pos="0"/>
        </w:tabs>
        <w:spacing w:line="360" w:lineRule="auto"/>
        <w:jc w:val="left"/>
        <w:rPr>
          <w:rFonts w:hint="eastAsia" w:hAnsi="宋体" w:eastAsia="宋体" w:cs="宋体"/>
          <w:b/>
          <w:bCs/>
          <w:sz w:val="24"/>
          <w:szCs w:val="24"/>
          <w:lang w:val="en-US" w:eastAsia="zh-CN"/>
        </w:rPr>
      </w:pPr>
    </w:p>
    <w:p w14:paraId="57CC2C0F">
      <w:pPr>
        <w:pStyle w:val="2"/>
        <w:numPr>
          <w:ilvl w:val="0"/>
          <w:numId w:val="0"/>
        </w:numPr>
        <w:tabs>
          <w:tab w:val="left" w:pos="0"/>
        </w:tabs>
        <w:spacing w:line="360" w:lineRule="auto"/>
        <w:jc w:val="left"/>
        <w:rPr>
          <w:rFonts w:hint="eastAsia" w:hAnsi="宋体" w:eastAsia="宋体" w:cs="宋体"/>
          <w:b/>
          <w:bCs/>
          <w:sz w:val="24"/>
          <w:szCs w:val="24"/>
          <w:lang w:val="en-US" w:eastAsia="zh-CN"/>
        </w:rPr>
      </w:pPr>
    </w:p>
    <w:p w14:paraId="18106842">
      <w:pPr>
        <w:pStyle w:val="2"/>
        <w:numPr>
          <w:ilvl w:val="0"/>
          <w:numId w:val="0"/>
        </w:numPr>
        <w:tabs>
          <w:tab w:val="left" w:pos="0"/>
        </w:tabs>
        <w:spacing w:line="360" w:lineRule="auto"/>
        <w:jc w:val="left"/>
        <w:rPr>
          <w:rFonts w:hint="eastAsia" w:hAnsi="宋体" w:eastAsia="宋体" w:cs="宋体"/>
          <w:b/>
          <w:bCs/>
          <w:sz w:val="24"/>
          <w:szCs w:val="24"/>
          <w:lang w:val="en-US" w:eastAsia="zh-CN"/>
        </w:rPr>
      </w:pPr>
    </w:p>
    <w:p w14:paraId="20E11D88">
      <w:pPr>
        <w:pStyle w:val="2"/>
        <w:numPr>
          <w:ilvl w:val="0"/>
          <w:numId w:val="0"/>
        </w:numPr>
        <w:tabs>
          <w:tab w:val="left" w:pos="0"/>
        </w:tabs>
        <w:spacing w:line="360" w:lineRule="auto"/>
        <w:jc w:val="left"/>
        <w:rPr>
          <w:rFonts w:hint="eastAsia" w:hAnsi="宋体" w:eastAsia="宋体" w:cs="宋体"/>
          <w:b/>
          <w:bCs/>
          <w:sz w:val="24"/>
          <w:szCs w:val="24"/>
          <w:lang w:val="en-US" w:eastAsia="zh-CN"/>
        </w:rPr>
      </w:pPr>
    </w:p>
    <w:p w14:paraId="60361367">
      <w:pPr>
        <w:pStyle w:val="2"/>
        <w:numPr>
          <w:ilvl w:val="0"/>
          <w:numId w:val="0"/>
        </w:numPr>
        <w:tabs>
          <w:tab w:val="left" w:pos="0"/>
        </w:tabs>
        <w:spacing w:line="360" w:lineRule="auto"/>
        <w:jc w:val="left"/>
        <w:rPr>
          <w:rFonts w:hint="eastAsia" w:hAnsi="宋体" w:eastAsia="宋体" w:cs="宋体"/>
          <w:b/>
          <w:bCs/>
          <w:sz w:val="24"/>
          <w:szCs w:val="24"/>
          <w:lang w:val="en-US" w:eastAsia="zh-CN"/>
        </w:rPr>
      </w:pPr>
    </w:p>
    <w:p w14:paraId="59BE5A59">
      <w:pPr>
        <w:pStyle w:val="2"/>
        <w:numPr>
          <w:ilvl w:val="0"/>
          <w:numId w:val="0"/>
        </w:numPr>
        <w:tabs>
          <w:tab w:val="left" w:pos="0"/>
        </w:tabs>
        <w:spacing w:line="360" w:lineRule="auto"/>
        <w:jc w:val="left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hAnsi="宋体" w:eastAsia="宋体" w:cs="宋体"/>
          <w:b/>
          <w:bCs/>
          <w:sz w:val="24"/>
          <w:szCs w:val="24"/>
          <w:lang w:val="en-US" w:eastAsia="zh-CN"/>
        </w:rPr>
        <w:t>二、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技术要求</w:t>
      </w:r>
    </w:p>
    <w:p w14:paraId="735A1EC4">
      <w:pPr>
        <w:pStyle w:val="2"/>
        <w:numPr>
          <w:ilvl w:val="0"/>
          <w:numId w:val="0"/>
        </w:numPr>
        <w:tabs>
          <w:tab w:val="left" w:pos="0"/>
        </w:tabs>
        <w:spacing w:line="360" w:lineRule="auto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为确保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满足要求</w:t>
      </w:r>
      <w:r>
        <w:rPr>
          <w:rFonts w:hint="eastAsia" w:ascii="宋体" w:hAnsi="宋体" w:eastAsia="宋体" w:cs="宋体"/>
          <w:sz w:val="24"/>
          <w:szCs w:val="24"/>
        </w:rPr>
        <w:t>我校依据以下规范性文件所规定标准进行要求与验收：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满足相应</w:t>
      </w:r>
      <w:r>
        <w:rPr>
          <w:rFonts w:hint="eastAsia" w:ascii="宋体" w:hAnsi="宋体" w:eastAsia="宋体" w:cs="宋体"/>
          <w:sz w:val="24"/>
          <w:szCs w:val="24"/>
          <w:vertAlign w:val="baseline"/>
          <w:lang w:val="en-US" w:eastAsia="zh-CN"/>
        </w:rPr>
        <w:t>GB</w:t>
      </w:r>
      <w:r>
        <w:rPr>
          <w:rFonts w:hint="eastAsia" w:hAnsi="宋体" w:cs="宋体"/>
          <w:sz w:val="24"/>
          <w:szCs w:val="24"/>
          <w:vertAlign w:val="baseline"/>
          <w:lang w:val="en-US" w:eastAsia="zh-CN"/>
        </w:rPr>
        <w:t>8898-2021《音频、视频及类似电子设备安全要求》</w:t>
      </w:r>
      <w:r>
        <w:rPr>
          <w:rFonts w:hint="eastAsia" w:ascii="宋体" w:hAnsi="宋体" w:eastAsia="宋体" w:cs="宋体"/>
          <w:sz w:val="24"/>
          <w:szCs w:val="24"/>
          <w:vertAlign w:val="baseline"/>
          <w:lang w:val="en-US" w:eastAsia="zh-CN"/>
        </w:rPr>
        <w:t>、</w:t>
      </w:r>
    </w:p>
    <w:p w14:paraId="4BE6CC5B">
      <w:pPr>
        <w:pStyle w:val="2"/>
        <w:tabs>
          <w:tab w:val="left" w:pos="0"/>
        </w:tabs>
        <w:spacing w:line="360" w:lineRule="auto"/>
        <w:jc w:val="left"/>
        <w:rPr>
          <w:rFonts w:hint="eastAsia" w:hAnsi="宋体" w:eastAsia="宋体" w:cs="宋体"/>
          <w:b/>
          <w:bCs/>
          <w:sz w:val="32"/>
          <w:szCs w:val="32"/>
        </w:rPr>
      </w:pPr>
      <w:r>
        <w:rPr>
          <w:rFonts w:hint="eastAsia" w:hAnsi="宋体" w:eastAsia="宋体" w:cs="宋体"/>
          <w:b/>
          <w:bCs/>
          <w:sz w:val="24"/>
          <w:szCs w:val="24"/>
        </w:rPr>
        <w:t>三、需求清单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3"/>
        <w:gridCol w:w="1931"/>
        <w:gridCol w:w="4071"/>
        <w:gridCol w:w="809"/>
        <w:gridCol w:w="1008"/>
      </w:tblGrid>
      <w:tr w14:paraId="4BCFB9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3" w:type="dxa"/>
            <w:shd w:val="clear" w:color="auto" w:fill="auto"/>
            <w:vAlign w:val="center"/>
          </w:tcPr>
          <w:p w14:paraId="6590944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序号</w:t>
            </w:r>
          </w:p>
        </w:tc>
        <w:tc>
          <w:tcPr>
            <w:tcW w:w="1931" w:type="dxa"/>
            <w:shd w:val="clear" w:color="auto" w:fill="auto"/>
            <w:vAlign w:val="center"/>
          </w:tcPr>
          <w:p w14:paraId="6CC25C4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名称</w:t>
            </w:r>
          </w:p>
        </w:tc>
        <w:tc>
          <w:tcPr>
            <w:tcW w:w="4071" w:type="dxa"/>
            <w:shd w:val="clear" w:color="auto" w:fill="auto"/>
            <w:vAlign w:val="center"/>
          </w:tcPr>
          <w:p w14:paraId="22D4329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规格</w:t>
            </w:r>
          </w:p>
        </w:tc>
        <w:tc>
          <w:tcPr>
            <w:tcW w:w="809" w:type="dxa"/>
            <w:shd w:val="clear" w:color="auto" w:fill="auto"/>
            <w:vAlign w:val="center"/>
          </w:tcPr>
          <w:p w14:paraId="0B703FD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数量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48AD0C9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单位</w:t>
            </w:r>
          </w:p>
        </w:tc>
      </w:tr>
      <w:tr w14:paraId="74F604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3" w:type="dxa"/>
            <w:shd w:val="clear" w:color="auto" w:fill="auto"/>
            <w:vAlign w:val="center"/>
          </w:tcPr>
          <w:p w14:paraId="56D2D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931" w:type="dxa"/>
            <w:shd w:val="clear" w:color="auto" w:fill="auto"/>
            <w:vAlign w:val="center"/>
          </w:tcPr>
          <w:p w14:paraId="5E160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主扩线阵音箱</w:t>
            </w:r>
          </w:p>
        </w:tc>
        <w:tc>
          <w:tcPr>
            <w:tcW w:w="4071" w:type="dxa"/>
            <w:vAlign w:val="center"/>
          </w:tcPr>
          <w:p w14:paraId="69F7565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6"/>
                <w:sz w:val="22"/>
                <w:szCs w:val="22"/>
                <w:lang w:val="en-US" w:eastAsia="zh-CN" w:bidi="ar"/>
              </w:rPr>
              <w:t>1、单元配置≥2X8寸低音单元,≥44Ti压缩高音单元</w:t>
            </w:r>
            <w:r>
              <w:rPr>
                <w:rStyle w:val="6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Style w:val="6"/>
                <w:sz w:val="22"/>
                <w:szCs w:val="22"/>
                <w:lang w:val="en-US" w:eastAsia="zh-CN" w:bidi="ar"/>
              </w:rPr>
              <w:t>2、频率响应≥100Hz-20KHz</w:t>
            </w:r>
            <w:r>
              <w:rPr>
                <w:rStyle w:val="6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Style w:val="6"/>
                <w:sz w:val="22"/>
                <w:szCs w:val="22"/>
                <w:lang w:val="en-US" w:eastAsia="zh-CN" w:bidi="ar"/>
              </w:rPr>
              <w:t>3、灵敏度≥ 97dB (1m/w)</w:t>
            </w:r>
            <w:r>
              <w:rPr>
                <w:rStyle w:val="6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Style w:val="6"/>
                <w:sz w:val="22"/>
                <w:szCs w:val="22"/>
                <w:lang w:val="en-US" w:eastAsia="zh-CN" w:bidi="ar"/>
              </w:rPr>
              <w:t>4、最大声压级≥126dB</w:t>
            </w:r>
            <w:r>
              <w:rPr>
                <w:rStyle w:val="6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Style w:val="6"/>
                <w:sz w:val="22"/>
                <w:szCs w:val="22"/>
                <w:lang w:val="en-US" w:eastAsia="zh-CN" w:bidi="ar"/>
              </w:rPr>
              <w:t>5、额定功率≥350W Rms</w:t>
            </w:r>
            <w:r>
              <w:rPr>
                <w:rStyle w:val="6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Style w:val="6"/>
                <w:sz w:val="22"/>
                <w:szCs w:val="22"/>
                <w:lang w:val="en-US" w:eastAsia="zh-CN" w:bidi="ar"/>
              </w:rPr>
              <w:t>6、最大功率≥700W</w:t>
            </w:r>
            <w:r>
              <w:rPr>
                <w:rStyle w:val="6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Style w:val="6"/>
                <w:sz w:val="22"/>
                <w:szCs w:val="22"/>
                <w:lang w:val="en-US" w:eastAsia="zh-CN" w:bidi="ar"/>
              </w:rPr>
              <w:t xml:space="preserve">7、额定阻抗≥8Ω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Style w:val="6"/>
                <w:i w:val="0"/>
                <w:iCs w:val="0"/>
                <w:color w:val="000000"/>
                <w:sz w:val="22"/>
                <w:szCs w:val="22"/>
                <w:lang w:val="en-US" w:eastAsia="zh-CN" w:bidi="ar"/>
              </w:rPr>
              <w:t>8、线性阵列音箱结构：箱体由18mm高密度桦木夹板制作，音箱采用双频带扬声器发声结构和倒相式低频回响装置，每只线性阵列音箱都配有钢制的吊挂组件，采用可调节角度的音箱吊挂连接装置，采用音箱减震器装置，能够多只音箱进行线性阵列吊挂组合。音箱可内置D类数字功放合成有源音箱使用。音箱可内置DANTE传输芯片，用于远距离网络传输和控制音箱的音量和相位。                                                                                             9、喇叭特性:采用反球顶号角高音扬声器，配置高频定向传导压缩与N阶反射塞号角，构成高音直射平面波.</w:t>
            </w:r>
            <w:r>
              <w:rPr>
                <w:rStyle w:val="6"/>
                <w:i w:val="0"/>
                <w:iCs w:val="0"/>
                <w:color w:val="00000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Style w:val="6"/>
                <w:i w:val="0"/>
                <w:iCs w:val="0"/>
                <w:color w:val="000000"/>
                <w:sz w:val="22"/>
                <w:szCs w:val="22"/>
                <w:lang w:val="en-US" w:eastAsia="zh-CN" w:bidi="ar"/>
              </w:rPr>
              <w:t>10、分频器特性:具有自动衰减过流过压的高音保护线路。</w:t>
            </w:r>
            <w:r>
              <w:rPr>
                <w:rStyle w:val="6"/>
                <w:i w:val="0"/>
                <w:iCs w:val="0"/>
                <w:color w:val="00000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Style w:val="6"/>
                <w:i w:val="0"/>
                <w:iCs w:val="0"/>
                <w:color w:val="000000"/>
                <w:sz w:val="22"/>
                <w:szCs w:val="22"/>
                <w:lang w:val="en-US" w:eastAsia="zh-CN" w:bidi="ar"/>
              </w:rPr>
              <w:t xml:space="preserve">11、音箱联接性能:线阵音箱具有两种接线方式:可以直接连接全频音响线路,也可外置电子分频器分别对高音和中低音分别进行调整控制。 </w:t>
            </w:r>
            <w:r>
              <w:rPr>
                <w:rStyle w:val="6"/>
                <w:sz w:val="22"/>
                <w:szCs w:val="22"/>
                <w:lang w:val="en-US" w:eastAsia="zh-CN" w:bidi="ar"/>
              </w:rPr>
              <w:t xml:space="preserve">                                                                                                                                    ▲12、为保证设备功能真实性、产品质量稳定性，以上第（8、9、10、11、）项所有性能要求，</w:t>
            </w: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投标时需提供：</w:t>
            </w:r>
          </w:p>
          <w:p w14:paraId="0F2130A0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sz w:val="22"/>
                <w:szCs w:val="22"/>
                <w:u w:val="none"/>
              </w:rPr>
              <w:t>①</w:t>
            </w: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国家认可的第三⽅</w:t>
            </w:r>
            <w:r>
              <w:rPr>
                <w:rFonts w:hint="eastAsia" w:ascii="等线" w:hAnsi="等线" w:eastAsia="等线" w:cs="等线"/>
                <w:b w:val="0"/>
                <w:bCs w:val="0"/>
                <w:sz w:val="22"/>
                <w:szCs w:val="22"/>
                <w:u w:val="none"/>
                <w:vertAlign w:val="baseline"/>
                <w:lang w:val="en-US" w:eastAsia="zh-CN"/>
              </w:rPr>
              <w:t>检验（检测）机构出具并加盖（或带有）CMA或CNAS标志的检验（检测）报告扫描件或复印件</w:t>
            </w: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并加盖产品制造商公章予以佐证，</w:t>
            </w:r>
          </w:p>
          <w:p w14:paraId="0631E9F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等线" w:hAnsi="等线" w:eastAsia="等线" w:cs="等线"/>
                <w:sz w:val="22"/>
                <w:szCs w:val="22"/>
                <w:vertAlign w:val="baseline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sz w:val="22"/>
                <w:szCs w:val="22"/>
                <w:u w:val="none"/>
              </w:rPr>
              <w:t>②</w:t>
            </w: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中标后可提供</w:t>
            </w:r>
            <w:r>
              <w:rPr>
                <w:rFonts w:hint="eastAsia" w:ascii="等线" w:hAnsi="等线" w:eastAsia="等线" w:cs="等线"/>
                <w:b w:val="0"/>
                <w:bCs w:val="0"/>
                <w:sz w:val="22"/>
                <w:szCs w:val="22"/>
                <w:u w:val="none"/>
                <w:vertAlign w:val="baseline"/>
                <w:lang w:val="en-US" w:eastAsia="zh-CN"/>
              </w:rPr>
              <w:t>检验（检测）报告</w:t>
            </w: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原件备查。</w:t>
            </w:r>
          </w:p>
        </w:tc>
        <w:tc>
          <w:tcPr>
            <w:tcW w:w="809" w:type="dxa"/>
            <w:vAlign w:val="center"/>
          </w:tcPr>
          <w:p w14:paraId="7BB2B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szCs w:val="22"/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008" w:type="dxa"/>
            <w:vAlign w:val="center"/>
          </w:tcPr>
          <w:p w14:paraId="00A52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szCs w:val="22"/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只</w:t>
            </w:r>
          </w:p>
        </w:tc>
      </w:tr>
      <w:tr w14:paraId="0D798F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3" w:type="dxa"/>
            <w:shd w:val="clear" w:color="auto" w:fill="auto"/>
            <w:vAlign w:val="center"/>
          </w:tcPr>
          <w:p w14:paraId="23FD3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931" w:type="dxa"/>
            <w:shd w:val="clear" w:color="auto" w:fill="auto"/>
            <w:vAlign w:val="center"/>
          </w:tcPr>
          <w:p w14:paraId="24E94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主扩线阵低音</w:t>
            </w:r>
          </w:p>
        </w:tc>
        <w:tc>
          <w:tcPr>
            <w:tcW w:w="4071" w:type="dxa"/>
            <w:vAlign w:val="center"/>
          </w:tcPr>
          <w:p w14:paraId="60F011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sz w:val="22"/>
                <w:szCs w:val="22"/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1、单元配置≥1X18”超重低音单元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2、频率响应≥40Hz-600Hz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3、灵敏度≥103dB(1w/1m)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4、最大声压级≥135dB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5、额定功率≥500W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6、最大功率≥1000W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7、额定阻抗≥8Ω</w:t>
            </w:r>
          </w:p>
        </w:tc>
        <w:tc>
          <w:tcPr>
            <w:tcW w:w="809" w:type="dxa"/>
            <w:vAlign w:val="center"/>
          </w:tcPr>
          <w:p w14:paraId="62701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szCs w:val="22"/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008" w:type="dxa"/>
            <w:vAlign w:val="center"/>
          </w:tcPr>
          <w:p w14:paraId="47240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szCs w:val="22"/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只</w:t>
            </w:r>
          </w:p>
        </w:tc>
      </w:tr>
      <w:tr w14:paraId="77B385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3" w:type="dxa"/>
            <w:shd w:val="clear" w:color="auto" w:fill="auto"/>
            <w:vAlign w:val="center"/>
          </w:tcPr>
          <w:p w14:paraId="0DC74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931" w:type="dxa"/>
            <w:shd w:val="clear" w:color="auto" w:fill="auto"/>
            <w:vAlign w:val="center"/>
          </w:tcPr>
          <w:p w14:paraId="03060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线阵吊架</w:t>
            </w:r>
          </w:p>
        </w:tc>
        <w:tc>
          <w:tcPr>
            <w:tcW w:w="4071" w:type="dxa"/>
            <w:vAlign w:val="center"/>
          </w:tcPr>
          <w:p w14:paraId="56BBF9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sz w:val="22"/>
                <w:szCs w:val="22"/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线阵音箱专用吊架</w:t>
            </w:r>
          </w:p>
        </w:tc>
        <w:tc>
          <w:tcPr>
            <w:tcW w:w="809" w:type="dxa"/>
            <w:vAlign w:val="center"/>
          </w:tcPr>
          <w:p w14:paraId="5240C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szCs w:val="22"/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008" w:type="dxa"/>
            <w:vAlign w:val="center"/>
          </w:tcPr>
          <w:p w14:paraId="721AF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szCs w:val="22"/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</w:tr>
      <w:tr w14:paraId="12DC03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3" w:type="dxa"/>
            <w:shd w:val="clear" w:color="auto" w:fill="auto"/>
            <w:vAlign w:val="center"/>
          </w:tcPr>
          <w:p w14:paraId="71C3E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931" w:type="dxa"/>
            <w:shd w:val="clear" w:color="auto" w:fill="auto"/>
            <w:vAlign w:val="center"/>
          </w:tcPr>
          <w:p w14:paraId="53064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主扩线阵功放</w:t>
            </w:r>
          </w:p>
        </w:tc>
        <w:tc>
          <w:tcPr>
            <w:tcW w:w="4071" w:type="dxa"/>
            <w:vAlign w:val="center"/>
          </w:tcPr>
          <w:p w14:paraId="724794C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jc w:val="left"/>
              <w:textAlignment w:val="auto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额定功率:2*900W (8Ω);  2*1300W (4Ω)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2、桥接功率(8Ω)：2500W*1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3、信噪比：110dB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4、工作频率≥20Hz~20kHz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5、总谐波失真：≤1%@1kHz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6、灵敏度：0.775V/1.0V/1.4V可选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7、阻尼系数：≥1000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8、输入抗阻：平衡20KΩ/非平衡10KΩ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9、内置功能：开机延时、过载保护、短路保护、温升保护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10、配备≥2.8寸FFT彩屏(240×320分辨率)，可实时显示多路温度、输入电源电压、当前工作模式、各通道音量大小、散热风速及实时信号频谱图，功放工作状态清晰可见，便于监控，有效保障设备正常运行。                                                                          ▲11、为保证设备功能真实性、产品质量稳定性，以上第（1、4、5、9）项所有性能要求，</w:t>
            </w:r>
          </w:p>
          <w:p w14:paraId="04336082">
            <w:pPr>
              <w:keepNext w:val="0"/>
              <w:keepLines w:val="0"/>
              <w:widowControl/>
              <w:numPr>
                <w:ilvl w:val="-1"/>
                <w:numId w:val="0"/>
              </w:numPr>
              <w:suppressLineNumbers w:val="0"/>
              <w:jc w:val="left"/>
              <w:textAlignment w:val="auto"/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投标时需提供：</w:t>
            </w:r>
          </w:p>
          <w:p w14:paraId="58C7BA1D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sz w:val="22"/>
                <w:szCs w:val="22"/>
                <w:u w:val="none"/>
              </w:rPr>
              <w:t>①</w:t>
            </w: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国家认可的第三⽅</w:t>
            </w:r>
            <w:r>
              <w:rPr>
                <w:rFonts w:hint="eastAsia" w:ascii="等线" w:hAnsi="等线" w:eastAsia="等线" w:cs="等线"/>
                <w:b w:val="0"/>
                <w:bCs w:val="0"/>
                <w:sz w:val="22"/>
                <w:szCs w:val="22"/>
                <w:u w:val="none"/>
                <w:vertAlign w:val="baseline"/>
                <w:lang w:val="en-US" w:eastAsia="zh-CN"/>
              </w:rPr>
              <w:t>检验（检测）机构出具并加盖（或带有）CMA或CNAS标志的检验（检测）报告扫描件或复印件</w:t>
            </w: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并加盖产品制造商公章予以佐证，</w:t>
            </w:r>
          </w:p>
          <w:p w14:paraId="0F311296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sz w:val="22"/>
                <w:szCs w:val="22"/>
                <w:u w:val="none"/>
              </w:rPr>
              <w:t>②</w:t>
            </w: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中标后可提供</w:t>
            </w:r>
            <w:r>
              <w:rPr>
                <w:rFonts w:hint="eastAsia" w:ascii="等线" w:hAnsi="等线" w:eastAsia="等线" w:cs="等线"/>
                <w:b w:val="0"/>
                <w:bCs w:val="0"/>
                <w:sz w:val="22"/>
                <w:szCs w:val="22"/>
                <w:u w:val="none"/>
                <w:vertAlign w:val="baseline"/>
                <w:lang w:val="en-US" w:eastAsia="zh-CN"/>
              </w:rPr>
              <w:t>检验（检测）报告</w:t>
            </w: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原件备查。</w:t>
            </w:r>
          </w:p>
        </w:tc>
        <w:tc>
          <w:tcPr>
            <w:tcW w:w="809" w:type="dxa"/>
            <w:vAlign w:val="center"/>
          </w:tcPr>
          <w:p w14:paraId="05067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szCs w:val="22"/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008" w:type="dxa"/>
            <w:vAlign w:val="center"/>
          </w:tcPr>
          <w:p w14:paraId="60D56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szCs w:val="22"/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</w:tr>
      <w:tr w14:paraId="09323C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3" w:type="dxa"/>
            <w:shd w:val="clear" w:color="auto" w:fill="auto"/>
            <w:vAlign w:val="center"/>
          </w:tcPr>
          <w:p w14:paraId="2811B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931" w:type="dxa"/>
            <w:shd w:val="clear" w:color="auto" w:fill="auto"/>
            <w:vAlign w:val="center"/>
          </w:tcPr>
          <w:p w14:paraId="2517A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返听音箱</w:t>
            </w:r>
          </w:p>
        </w:tc>
        <w:tc>
          <w:tcPr>
            <w:tcW w:w="4071" w:type="dxa"/>
            <w:vAlign w:val="center"/>
          </w:tcPr>
          <w:p w14:paraId="3FA33C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sz w:val="22"/>
                <w:szCs w:val="22"/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1、单元配置≥1x10寸低音单元， ≥HI25M*2压缩高音单元 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2、额定功率(W Rms)≥200W 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3、最大功率(W Rms)≥400W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4、频响范围≥45Hz-18KHz(±6dB) 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5、阻抗≥8Ω 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6、灵敏度(1m/1w)≥93dB 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7、最大声压级(dB)≥115dB(1m)</w:t>
            </w:r>
          </w:p>
        </w:tc>
        <w:tc>
          <w:tcPr>
            <w:tcW w:w="809" w:type="dxa"/>
            <w:vAlign w:val="center"/>
          </w:tcPr>
          <w:p w14:paraId="6BDEC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szCs w:val="22"/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008" w:type="dxa"/>
            <w:vAlign w:val="center"/>
          </w:tcPr>
          <w:p w14:paraId="18A2F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szCs w:val="22"/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只</w:t>
            </w:r>
          </w:p>
        </w:tc>
      </w:tr>
      <w:tr w14:paraId="353F9A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3" w:type="dxa"/>
            <w:shd w:val="clear" w:color="auto" w:fill="auto"/>
            <w:vAlign w:val="center"/>
          </w:tcPr>
          <w:p w14:paraId="3F29F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931" w:type="dxa"/>
            <w:shd w:val="clear" w:color="auto" w:fill="auto"/>
            <w:vAlign w:val="center"/>
          </w:tcPr>
          <w:p w14:paraId="7D87B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返听功放</w:t>
            </w:r>
          </w:p>
        </w:tc>
        <w:tc>
          <w:tcPr>
            <w:tcW w:w="4071" w:type="dxa"/>
            <w:vAlign w:val="center"/>
          </w:tcPr>
          <w:p w14:paraId="72B8C3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sz w:val="22"/>
                <w:szCs w:val="22"/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1、额定功率≥2*450W (8Ω); 2*650W (4Ω)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2、桥接功率(8Ω)≥1300W*1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3、信噪比≥110dB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4、工作频率≥20Hz~20kHz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5、总谐波失真：≤1%@1kHz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6、灵敏度：0.775V/1.0V/1.4V可选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7、阻尼系数：≥1000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8、输入抗阻：平衡20KΩ/非平衡10KΩ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9、内置功能：开机延时、过载保护、短路保护、温升保护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10、配备2.8寸FFT彩屏(240×320分辨率)，可实时显示多路温度、输入电源电压、当前工作模式、各通道音量大小、散热风速及实时信号频谱图，功放工作状态清晰可见，便于监控，有效保障设备正常运行。 </w:t>
            </w:r>
          </w:p>
        </w:tc>
        <w:tc>
          <w:tcPr>
            <w:tcW w:w="809" w:type="dxa"/>
            <w:vAlign w:val="center"/>
          </w:tcPr>
          <w:p w14:paraId="2CC3F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szCs w:val="22"/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08" w:type="dxa"/>
            <w:vAlign w:val="center"/>
          </w:tcPr>
          <w:p w14:paraId="7ED4A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szCs w:val="22"/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</w:tr>
      <w:tr w14:paraId="2FD64B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3" w:type="dxa"/>
            <w:shd w:val="clear" w:color="auto" w:fill="auto"/>
            <w:vAlign w:val="center"/>
          </w:tcPr>
          <w:p w14:paraId="15A3A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931" w:type="dxa"/>
            <w:shd w:val="clear" w:color="auto" w:fill="auto"/>
            <w:vAlign w:val="center"/>
          </w:tcPr>
          <w:p w14:paraId="7C8F4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专业调音台</w:t>
            </w:r>
          </w:p>
        </w:tc>
        <w:tc>
          <w:tcPr>
            <w:tcW w:w="4071" w:type="dxa"/>
            <w:vAlign w:val="center"/>
          </w:tcPr>
          <w:p w14:paraId="18405C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sz w:val="22"/>
                <w:szCs w:val="22"/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                                1、≥10路MIC/16路LINE输入，每路具有≥3段均衡，中频段可以选频调节参数，MIC输入带独立48V幻象供电和低切功能。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2、≥2路MAIN主输出，≥4路GROUP编组输出，≥4路AUX输出，≥1路SUB超重低音输出。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3、主输出带≥9段均衡器。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4、内置≥24种效果，参数可调，具有独立效果EFFECT控制音量推子。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5、内置U盘MP3播放器和蓝牙播放器，具有显示屏及按键操作。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6、内置USB声卡播放和录音USB接口。</w:t>
            </w:r>
          </w:p>
        </w:tc>
        <w:tc>
          <w:tcPr>
            <w:tcW w:w="809" w:type="dxa"/>
            <w:vAlign w:val="center"/>
          </w:tcPr>
          <w:p w14:paraId="7594E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szCs w:val="22"/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08" w:type="dxa"/>
            <w:vAlign w:val="center"/>
          </w:tcPr>
          <w:p w14:paraId="0DA5B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szCs w:val="22"/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</w:tr>
      <w:tr w14:paraId="507C75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3" w:type="dxa"/>
            <w:shd w:val="clear" w:color="auto" w:fill="auto"/>
            <w:vAlign w:val="center"/>
          </w:tcPr>
          <w:p w14:paraId="1F79C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931" w:type="dxa"/>
            <w:shd w:val="clear" w:color="auto" w:fill="auto"/>
            <w:vAlign w:val="center"/>
          </w:tcPr>
          <w:p w14:paraId="3857E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音频信号处理器</w:t>
            </w:r>
          </w:p>
        </w:tc>
        <w:tc>
          <w:tcPr>
            <w:tcW w:w="4071" w:type="dxa"/>
            <w:vAlign w:val="center"/>
          </w:tcPr>
          <w:p w14:paraId="197E6607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jc w:val="left"/>
              <w:textAlignment w:val="auto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提供≥4路平衡输入≥8路平衡输出；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2、≥96k24BIT采样率；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3、音频信号处理器具有三种智能混音功能，自动增益混音、同时发言人数限制、自动避音功能。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4、音频信号处理器产品具有自动回声消除和环境噪声消除功能，可实现无噪音、高清晰的现场会议及远程视频会议。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5、音频信号处理器话筒输入具有48V幻象电源供电、0到50db话放增益连续可调、自动混音处理功能，自动摄像跟踪触发等功能。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6、音频信号处理器具有对输入端音频低切、独立反馈抑制、参量均衡、噪声门、增益、静音、相位、连动调节、音量编组调节等处理功能。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7、音频信号处理器具有对输出端音频分频、参量均衡、增益、静音、压缩/限幅器、相位、延时、连动调节、音量编组调节等处理功能。                                                                                                 ▲8、为保证设备功能真实性、产品质量稳定性，以上第（3、4、5、6、7）项所有性能要求，</w:t>
            </w:r>
          </w:p>
          <w:p w14:paraId="0C57770C">
            <w:pPr>
              <w:keepNext w:val="0"/>
              <w:keepLines w:val="0"/>
              <w:widowControl/>
              <w:numPr>
                <w:ilvl w:val="-1"/>
                <w:numId w:val="0"/>
              </w:numPr>
              <w:suppressLineNumbers w:val="0"/>
              <w:jc w:val="left"/>
              <w:textAlignment w:val="auto"/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投标时需提供：</w:t>
            </w:r>
          </w:p>
          <w:p w14:paraId="00DF3C05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sz w:val="22"/>
                <w:szCs w:val="22"/>
                <w:u w:val="none"/>
              </w:rPr>
              <w:t>①</w:t>
            </w: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国家认可的第三⽅</w:t>
            </w:r>
            <w:r>
              <w:rPr>
                <w:rFonts w:hint="eastAsia" w:ascii="等线" w:hAnsi="等线" w:eastAsia="等线" w:cs="等线"/>
                <w:b w:val="0"/>
                <w:bCs w:val="0"/>
                <w:sz w:val="22"/>
                <w:szCs w:val="22"/>
                <w:u w:val="none"/>
                <w:vertAlign w:val="baseline"/>
                <w:lang w:val="en-US" w:eastAsia="zh-CN"/>
              </w:rPr>
              <w:t>检验（检测）机构出具并加盖（或带有）CMA或CNAS标志的检验（检测）报告扫描件或复印件</w:t>
            </w: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并加盖产品制造商公章予以佐证，</w:t>
            </w:r>
          </w:p>
          <w:p w14:paraId="00FD43AF">
            <w:pPr>
              <w:keepNext w:val="0"/>
              <w:keepLines w:val="0"/>
              <w:widowControl/>
              <w:suppressLineNumbers w:val="0"/>
              <w:jc w:val="left"/>
              <w:textAlignment w:val="auto"/>
              <w:rPr>
                <w:rFonts w:hint="eastAsia" w:ascii="等线" w:hAnsi="等线" w:eastAsia="等线" w:cs="等线"/>
                <w:sz w:val="22"/>
                <w:szCs w:val="22"/>
                <w:vertAlign w:val="baseline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sz w:val="22"/>
                <w:szCs w:val="22"/>
                <w:u w:val="none"/>
              </w:rPr>
              <w:t>②</w:t>
            </w: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中标后可提供</w:t>
            </w:r>
            <w:r>
              <w:rPr>
                <w:rFonts w:hint="eastAsia" w:ascii="等线" w:hAnsi="等线" w:eastAsia="等线" w:cs="等线"/>
                <w:b w:val="0"/>
                <w:bCs w:val="0"/>
                <w:sz w:val="22"/>
                <w:szCs w:val="22"/>
                <w:u w:val="none"/>
                <w:vertAlign w:val="baseline"/>
                <w:lang w:val="en-US" w:eastAsia="zh-CN"/>
              </w:rPr>
              <w:t>检验（检测）报告</w:t>
            </w: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原件备查。</w:t>
            </w:r>
          </w:p>
        </w:tc>
        <w:tc>
          <w:tcPr>
            <w:tcW w:w="809" w:type="dxa"/>
            <w:vAlign w:val="center"/>
          </w:tcPr>
          <w:p w14:paraId="2708B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szCs w:val="22"/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08" w:type="dxa"/>
            <w:vAlign w:val="center"/>
          </w:tcPr>
          <w:p w14:paraId="7DB81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szCs w:val="22"/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</w:tr>
      <w:tr w14:paraId="35A6AF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3" w:type="dxa"/>
            <w:shd w:val="clear" w:color="auto" w:fill="auto"/>
            <w:vAlign w:val="center"/>
          </w:tcPr>
          <w:p w14:paraId="093C6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931" w:type="dxa"/>
            <w:shd w:val="clear" w:color="auto" w:fill="auto"/>
            <w:vAlign w:val="center"/>
          </w:tcPr>
          <w:p w14:paraId="4B9ED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电源时器</w:t>
            </w:r>
          </w:p>
        </w:tc>
        <w:tc>
          <w:tcPr>
            <w:tcW w:w="4071" w:type="dxa"/>
            <w:vAlign w:val="center"/>
          </w:tcPr>
          <w:p w14:paraId="76D8DE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sz w:val="22"/>
                <w:szCs w:val="22"/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支持≥12路受控电源和1路直通电源输出，受控电源开启或关闭间隔时间可调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内置电源滤波器，可对输入电源进行净化处理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能网络远程监控设备电压、电流、温度信息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能对电源进行远程开/关机功能，支持外部中控和多台级联功能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带实时监测保护功能，有过压、欠压、过流保护功能，保护参数可自行设定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面板设有≥2寸TFT彩色液晶屏，可实时显示当前工作电压、电流、温度和输出状态等设备信息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内置高精度时钟电路，可实时显示当前时间和日期，有≥10组定时开关机可使用可设为循环或单次有效，也可设定单开或全开功能以节约能源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内置DHCP、TCP/IP协议，支持其它设备网络设备接入，带WIFI功能，支持本品牌音频处理器和时序电源在一个平板电脑上控制。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产品设≥2个TCP/IP网口，≥1个WIFi，≥1个RS232接口，≥1个RS485接口</w:t>
            </w:r>
          </w:p>
        </w:tc>
        <w:tc>
          <w:tcPr>
            <w:tcW w:w="809" w:type="dxa"/>
            <w:vAlign w:val="center"/>
          </w:tcPr>
          <w:p w14:paraId="562EE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szCs w:val="22"/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08" w:type="dxa"/>
            <w:vAlign w:val="center"/>
          </w:tcPr>
          <w:p w14:paraId="71F86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szCs w:val="22"/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</w:tr>
      <w:tr w14:paraId="23C510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3" w:type="dxa"/>
            <w:shd w:val="clear" w:color="auto" w:fill="auto"/>
            <w:vAlign w:val="center"/>
          </w:tcPr>
          <w:p w14:paraId="23FAE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931" w:type="dxa"/>
            <w:shd w:val="clear" w:color="auto" w:fill="auto"/>
            <w:vAlign w:val="center"/>
          </w:tcPr>
          <w:p w14:paraId="5B0C6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无线双手持话筒</w:t>
            </w:r>
          </w:p>
        </w:tc>
        <w:tc>
          <w:tcPr>
            <w:tcW w:w="4071" w:type="dxa"/>
            <w:vAlign w:val="center"/>
          </w:tcPr>
          <w:p w14:paraId="6B9FBD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sz w:val="22"/>
                <w:szCs w:val="22"/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                                                                                                                                                                                        1.采用≥四天线组合双通道双接收系统.设计有高灵敏分集选讯电路，能最大限度降低了断频的发生.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2.双通道独立AFS频率自动搜索功能,能迅速扫描所在工作环境中干忧最少的频率并锁定.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3.接收机与发射机通过IR红外对频技术,一键同步对码，接收机也可手动调节频率。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4.专业演出级别的微电脑控制PLL相位锁定电路,配合杂讯锁定静噪控制与数码导频技术, 当发射器关闭时，导频控制将AF信号静音以抑制噪声，同时将对应的接收机静音。保证了对干忧信号的有效阻隔.                                                                                                                       5、内部采用集成电路双调谐真分集接收和数字式电子音量控制，面板设有彩色屏幕可实时显示显示电池电量、接收频道、接收频率、音量、静音状态、锁定状态、分集通道A/B切换显示、射频信号和音频信号强度。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6、手持话筒采用高品质心型指向咪头，具有频响范围宽和人声修饰功能。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接收机参数：                                                                                                                                  频率范围≥610-670MHz频率范围；                                                                                                                 信道数目≥200 (每通道各≥100)；                                                                                        动态范围：&gt;100dB(A)；                                                                                                     调制方式：FM（调频）/PLL（锁相环频率合成）；                                                  频率响应≥30Hz-20KHz；                                                                                                     信噪比/S/N：≥105dB(A)；                                                                                                                                        邻频干扰比/F/N：&gt;80dB；                                                                                                         镜像干扰比/P/N：&gt;80dB；                                                                                                           使用范围≥200米 Meters（开阔地）；                                                                                         </w:t>
            </w:r>
          </w:p>
        </w:tc>
        <w:tc>
          <w:tcPr>
            <w:tcW w:w="809" w:type="dxa"/>
            <w:vAlign w:val="center"/>
          </w:tcPr>
          <w:p w14:paraId="58DA0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szCs w:val="22"/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008" w:type="dxa"/>
            <w:vAlign w:val="center"/>
          </w:tcPr>
          <w:p w14:paraId="25906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szCs w:val="22"/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</w:tr>
      <w:tr w14:paraId="6AAA4A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3" w:type="dxa"/>
            <w:shd w:val="clear" w:color="auto" w:fill="auto"/>
            <w:vAlign w:val="center"/>
          </w:tcPr>
          <w:p w14:paraId="75A87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931" w:type="dxa"/>
            <w:shd w:val="clear" w:color="auto" w:fill="auto"/>
            <w:vAlign w:val="center"/>
          </w:tcPr>
          <w:p w14:paraId="128DF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无线双头戴话筒</w:t>
            </w:r>
          </w:p>
        </w:tc>
        <w:tc>
          <w:tcPr>
            <w:tcW w:w="4071" w:type="dxa"/>
            <w:vAlign w:val="center"/>
          </w:tcPr>
          <w:p w14:paraId="6119D5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sz w:val="22"/>
                <w:szCs w:val="22"/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                                                                                                                                                                                            1.采用≥四天线组合双通道双接收系统.设计有高灵敏分集选讯电路，能最大限度降低了断频的发生.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2.双通道独立AFS频率自动搜索功能,能迅速扫描所在工作环境中干忧最少的频率并锁定.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3.接收机与发射机通过IR红外对频技术,一键同步对码，接收机也可手动调节频率。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4.专业演出级别的微电脑控制PLL相位锁定电路,配合杂讯锁定静噪控制与数码导频技术, 当发射器关闭时，导频控制将AF信号静音以抑制噪声，同时将对应的接收机静音。保证了对干忧信号的有效阻隔.                                                                                                                       5、内部采用集成电路双调谐真分集接收和数字式电子音量控制，面板设有彩色屏幕可实时显示显示电池电量、接收频道、接收频率、音量、静音状态、锁定状态、分集通道A/B切换显示、射频信号和音频信号强度。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6、手持话筒采用高品质心型指向咪头，具有频响范围宽和人声修饰功能。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接收机参数：                                                                                                                                  频率范围≥610-670MHz频率范围；                                                                                                                 信道数目≥200 (每通道各≥100)；                                                                                        动态范围：&gt;100dB(A)；                                                                                                     调制方式：FM（调频）/PLL（锁相环频率合成）；                                                  频率响应≥30Hz-20KHz；                                                                                                     信噪比/S/N：≥105dB(A)；                                                                                                                                        邻频干扰比/F/N：&gt;80dB；                                                                                                         镜像干扰比/P/N：&gt;80dB；                                                                                                           使用范围≥200米 Meters（开阔地）；                                                                                         </w:t>
            </w:r>
          </w:p>
        </w:tc>
        <w:tc>
          <w:tcPr>
            <w:tcW w:w="809" w:type="dxa"/>
            <w:vAlign w:val="center"/>
          </w:tcPr>
          <w:p w14:paraId="1EE79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szCs w:val="22"/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008" w:type="dxa"/>
            <w:vAlign w:val="center"/>
          </w:tcPr>
          <w:p w14:paraId="33DA23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szCs w:val="22"/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</w:tr>
      <w:tr w14:paraId="33B293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3" w:type="dxa"/>
            <w:shd w:val="clear" w:color="auto" w:fill="auto"/>
            <w:vAlign w:val="center"/>
          </w:tcPr>
          <w:p w14:paraId="6F5D6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931" w:type="dxa"/>
            <w:shd w:val="clear" w:color="auto" w:fill="auto"/>
            <w:vAlign w:val="center"/>
          </w:tcPr>
          <w:p w14:paraId="36A3D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立式双咪合唱话筒</w:t>
            </w:r>
          </w:p>
        </w:tc>
        <w:tc>
          <w:tcPr>
            <w:tcW w:w="4071" w:type="dxa"/>
            <w:vAlign w:val="center"/>
          </w:tcPr>
          <w:p w14:paraId="3E64CB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sz w:val="22"/>
                <w:szCs w:val="22"/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类型：电容式超心型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频率响应≥50Hz～20KHz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拾音距离≥10-140cm                                                                   最大声压级≥128dB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灵敏度≥14±2dB                                                                                                                                 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供电方式：可DC48V幻象供电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超长鹅颈电容话筒，独立的立式架，平衡输出，适用于大型会议演讲及大合唱使用。</w:t>
            </w:r>
          </w:p>
        </w:tc>
        <w:tc>
          <w:tcPr>
            <w:tcW w:w="809" w:type="dxa"/>
            <w:vAlign w:val="center"/>
          </w:tcPr>
          <w:p w14:paraId="216AC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szCs w:val="22"/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08" w:type="dxa"/>
            <w:vAlign w:val="center"/>
          </w:tcPr>
          <w:p w14:paraId="0926E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szCs w:val="22"/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</w:tr>
      <w:tr w14:paraId="7DB43C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3" w:type="dxa"/>
            <w:shd w:val="clear" w:color="auto" w:fill="auto"/>
            <w:vAlign w:val="center"/>
          </w:tcPr>
          <w:p w14:paraId="1E054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931" w:type="dxa"/>
            <w:shd w:val="clear" w:color="auto" w:fill="auto"/>
            <w:vAlign w:val="center"/>
          </w:tcPr>
          <w:p w14:paraId="63891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机柜</w:t>
            </w:r>
          </w:p>
        </w:tc>
        <w:tc>
          <w:tcPr>
            <w:tcW w:w="4071" w:type="dxa"/>
            <w:vAlign w:val="center"/>
          </w:tcPr>
          <w:p w14:paraId="300348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sz w:val="22"/>
                <w:szCs w:val="22"/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27U 宽600深600金属机柜</w:t>
            </w:r>
          </w:p>
        </w:tc>
        <w:tc>
          <w:tcPr>
            <w:tcW w:w="809" w:type="dxa"/>
            <w:vAlign w:val="center"/>
          </w:tcPr>
          <w:p w14:paraId="31687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szCs w:val="22"/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08" w:type="dxa"/>
            <w:vAlign w:val="center"/>
          </w:tcPr>
          <w:p w14:paraId="3EBA8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szCs w:val="22"/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</w:tr>
      <w:tr w14:paraId="637D7C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3" w:type="dxa"/>
            <w:shd w:val="clear" w:color="auto" w:fill="auto"/>
            <w:vAlign w:val="bottom"/>
          </w:tcPr>
          <w:p w14:paraId="7A9FC0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931" w:type="dxa"/>
            <w:shd w:val="clear" w:color="auto" w:fill="auto"/>
            <w:vAlign w:val="center"/>
          </w:tcPr>
          <w:p w14:paraId="728AA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音箱线</w:t>
            </w:r>
          </w:p>
        </w:tc>
        <w:tc>
          <w:tcPr>
            <w:tcW w:w="4071" w:type="dxa"/>
            <w:vAlign w:val="center"/>
          </w:tcPr>
          <w:p w14:paraId="0401E0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sz w:val="22"/>
                <w:szCs w:val="22"/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2*2平方专业音箱线</w:t>
            </w:r>
          </w:p>
        </w:tc>
        <w:tc>
          <w:tcPr>
            <w:tcW w:w="809" w:type="dxa"/>
            <w:vAlign w:val="center"/>
          </w:tcPr>
          <w:p w14:paraId="19C6A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szCs w:val="22"/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08" w:type="dxa"/>
            <w:vAlign w:val="center"/>
          </w:tcPr>
          <w:p w14:paraId="3FF68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szCs w:val="22"/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批</w:t>
            </w:r>
          </w:p>
        </w:tc>
      </w:tr>
      <w:tr w14:paraId="77C0C1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3" w:type="dxa"/>
            <w:shd w:val="clear" w:color="auto" w:fill="auto"/>
            <w:vAlign w:val="bottom"/>
          </w:tcPr>
          <w:p w14:paraId="5AF01E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931" w:type="dxa"/>
            <w:shd w:val="clear" w:color="auto" w:fill="auto"/>
            <w:vAlign w:val="center"/>
          </w:tcPr>
          <w:p w14:paraId="3E907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音频线</w:t>
            </w:r>
          </w:p>
        </w:tc>
        <w:tc>
          <w:tcPr>
            <w:tcW w:w="4071" w:type="dxa"/>
            <w:vAlign w:val="center"/>
          </w:tcPr>
          <w:p w14:paraId="6EA512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sz w:val="22"/>
                <w:szCs w:val="22"/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128网，双芯带屏蔽</w:t>
            </w:r>
          </w:p>
        </w:tc>
        <w:tc>
          <w:tcPr>
            <w:tcW w:w="809" w:type="dxa"/>
            <w:vAlign w:val="center"/>
          </w:tcPr>
          <w:p w14:paraId="38FE6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szCs w:val="22"/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08" w:type="dxa"/>
            <w:vAlign w:val="center"/>
          </w:tcPr>
          <w:p w14:paraId="4ED88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szCs w:val="22"/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批</w:t>
            </w:r>
          </w:p>
        </w:tc>
      </w:tr>
      <w:tr w14:paraId="475436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3" w:type="dxa"/>
            <w:shd w:val="clear" w:color="auto" w:fill="auto"/>
            <w:vAlign w:val="center"/>
          </w:tcPr>
          <w:p w14:paraId="2088F4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931" w:type="dxa"/>
            <w:shd w:val="clear" w:color="auto" w:fill="auto"/>
            <w:vAlign w:val="center"/>
          </w:tcPr>
          <w:p w14:paraId="4EEBF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辅材配件</w:t>
            </w:r>
          </w:p>
        </w:tc>
        <w:tc>
          <w:tcPr>
            <w:tcW w:w="4071" w:type="dxa"/>
            <w:vAlign w:val="center"/>
          </w:tcPr>
          <w:p w14:paraId="2AA19D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sz w:val="22"/>
                <w:szCs w:val="22"/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卡农公、卡农母、大三芯、莲花、speakon头、钢丝绳、膨胀螺丝等</w:t>
            </w:r>
          </w:p>
        </w:tc>
        <w:tc>
          <w:tcPr>
            <w:tcW w:w="809" w:type="dxa"/>
            <w:vAlign w:val="center"/>
          </w:tcPr>
          <w:p w14:paraId="0F7FF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szCs w:val="22"/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08" w:type="dxa"/>
            <w:vAlign w:val="center"/>
          </w:tcPr>
          <w:p w14:paraId="1D03B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szCs w:val="22"/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批</w:t>
            </w:r>
          </w:p>
        </w:tc>
      </w:tr>
      <w:tr w14:paraId="6CA7AB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3" w:type="dxa"/>
            <w:shd w:val="clear" w:color="auto" w:fill="auto"/>
            <w:vAlign w:val="center"/>
          </w:tcPr>
          <w:p w14:paraId="664966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931" w:type="dxa"/>
            <w:shd w:val="clear" w:color="auto" w:fill="auto"/>
            <w:vAlign w:val="center"/>
          </w:tcPr>
          <w:p w14:paraId="39706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LED面光灯</w:t>
            </w:r>
          </w:p>
        </w:tc>
        <w:tc>
          <w:tcPr>
            <w:tcW w:w="4071" w:type="dxa"/>
            <w:vAlign w:val="center"/>
          </w:tcPr>
          <w:p w14:paraId="0426EC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sz w:val="22"/>
                <w:szCs w:val="22"/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                                                                                                                                                                      功    率≥200W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LED灯珠：节能模组≥4颗50W（2颗3200K,2颗5600K）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光学透镜：25度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    道：9CH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控制模式：DMX-512控制操作、主从机模式、单机模式 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色    温：3200K/6000K/3200-6000K可调                                                                                                                                                                   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调   光：0—100%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显   示：四位八段数码管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频   闪：电子频闪1-25fps/秒，随机频闪，按顺序跳动，变速频闪（从慢到快）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散   热：通过优质散热片对流冷却,智能静音风扇辅助散热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防护等级：IP20                                                                                                                                                                 电源电压：AC100V-240V，50/60Hz</w:t>
            </w:r>
          </w:p>
        </w:tc>
        <w:tc>
          <w:tcPr>
            <w:tcW w:w="809" w:type="dxa"/>
            <w:vAlign w:val="center"/>
          </w:tcPr>
          <w:p w14:paraId="0650E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szCs w:val="22"/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008" w:type="dxa"/>
            <w:vAlign w:val="center"/>
          </w:tcPr>
          <w:p w14:paraId="0F569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szCs w:val="22"/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</w:tr>
      <w:tr w14:paraId="19EA68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3" w:type="dxa"/>
            <w:shd w:val="clear" w:color="auto" w:fill="auto"/>
            <w:vAlign w:val="center"/>
          </w:tcPr>
          <w:p w14:paraId="6BC5CB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931" w:type="dxa"/>
            <w:shd w:val="clear" w:color="auto" w:fill="auto"/>
            <w:vAlign w:val="center"/>
          </w:tcPr>
          <w:p w14:paraId="53990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LED染色PAR灯</w:t>
            </w:r>
          </w:p>
        </w:tc>
        <w:tc>
          <w:tcPr>
            <w:tcW w:w="4071" w:type="dxa"/>
            <w:vAlign w:val="center"/>
          </w:tcPr>
          <w:p w14:paraId="22595C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sz w:val="22"/>
                <w:szCs w:val="22"/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                                                                                                                         电源电压：AC100V-240V，50/60Hz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功    率≥162W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LED灯珠：节能≥54颗*3W,3合一灯珠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光学透镜：白色座高光效25度透镜（可选8/15/45/60度）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    道：≥8通道模式选择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控制模式：DMX-512控制操作、主从机模式、单机模式，≥8种内置效果可以通过DMX控台和已制定程序选择使用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颜   色：连续的红绿蓝和白色的颜色转换，RGBW无限混色彩虹效果，可调速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调   光：0—100%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显   示：四位八段数码管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频   闪：电子频闪1-25fps/秒，随机频闪，按顺序跳动，变速频闪（从慢到快），混合频闪（频闪+底色、频闪+渐变）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散   热：通过优质散热片对流冷却,智能静音风扇辅助散热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防护等级：IP20</w:t>
            </w:r>
          </w:p>
        </w:tc>
        <w:tc>
          <w:tcPr>
            <w:tcW w:w="809" w:type="dxa"/>
            <w:vAlign w:val="center"/>
          </w:tcPr>
          <w:p w14:paraId="11DF1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szCs w:val="22"/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008" w:type="dxa"/>
            <w:vAlign w:val="center"/>
          </w:tcPr>
          <w:p w14:paraId="43D73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szCs w:val="22"/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</w:tr>
      <w:tr w14:paraId="024188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3" w:type="dxa"/>
            <w:shd w:val="clear" w:color="auto" w:fill="auto"/>
            <w:vAlign w:val="center"/>
          </w:tcPr>
          <w:p w14:paraId="562B3D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931" w:type="dxa"/>
            <w:shd w:val="clear" w:color="auto" w:fill="auto"/>
            <w:vAlign w:val="center"/>
          </w:tcPr>
          <w:p w14:paraId="3A94A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LED染色PAR灯</w:t>
            </w:r>
          </w:p>
        </w:tc>
        <w:tc>
          <w:tcPr>
            <w:tcW w:w="4071" w:type="dxa"/>
            <w:vAlign w:val="center"/>
          </w:tcPr>
          <w:p w14:paraId="35D3B4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sz w:val="22"/>
                <w:szCs w:val="22"/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                                                                                                                         电源电压：AC100V-240V，50/60Hz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功    率≥162W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LED灯珠：节能≥54颗*3W,3合一灯珠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光学透镜：白色座高光效25度透镜（可选8/15/45/60度）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    道：≥8通道模式选择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控制模式：DMX-512控制操作、主从机模式、单机模式，≥8种内置效果可以通过DMX控台和已制定程序选择使用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颜   色：连续的红绿蓝和白色的颜色转换，RGBW无限混色彩虹效果，可调速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调   光：0—100%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显   示：四位八段数码管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频   闪：电子频闪1-25fps/秒，随机频闪，按顺序跳动，变速频闪（从慢到快），混合频闪（频闪+底色、频闪+渐变）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散   热：通过优质散热片对流冷却,智能静音风扇辅助散热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防护等级：IP20</w:t>
            </w:r>
          </w:p>
        </w:tc>
        <w:tc>
          <w:tcPr>
            <w:tcW w:w="809" w:type="dxa"/>
            <w:vAlign w:val="center"/>
          </w:tcPr>
          <w:p w14:paraId="2F198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szCs w:val="22"/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008" w:type="dxa"/>
            <w:vAlign w:val="center"/>
          </w:tcPr>
          <w:p w14:paraId="15C7E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szCs w:val="22"/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</w:tr>
      <w:tr w14:paraId="3186BD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3" w:type="dxa"/>
            <w:shd w:val="clear" w:color="auto" w:fill="auto"/>
            <w:vAlign w:val="center"/>
          </w:tcPr>
          <w:p w14:paraId="712850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931" w:type="dxa"/>
            <w:shd w:val="clear" w:color="auto" w:fill="auto"/>
            <w:vAlign w:val="center"/>
          </w:tcPr>
          <w:p w14:paraId="4EC55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信号放大器</w:t>
            </w:r>
          </w:p>
        </w:tc>
        <w:tc>
          <w:tcPr>
            <w:tcW w:w="4071" w:type="dxa"/>
            <w:vAlign w:val="center"/>
          </w:tcPr>
          <w:p w14:paraId="56821F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sz w:val="22"/>
                <w:szCs w:val="22"/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                                                                                                                                                                                             1、本多功能DMX处理放大器共≥8路输出与≥2路输入 每路输入有三芯卡侬座与五芯卡侬座。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2、 放大器的信号模式通过DMX输出按键选择打开与关闭。功能打开输入有信号时输出有信号。在输入没有时保持输出接收到最后一帧数据。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3、背后输出≥8个位对应的LED亮或者闪表示该路有信号输出。灭表示该路无信号输出。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4、放大器共有二个按键，每按一下改变相应的功能，在没有操作按键30秒后记录当前工作状态。</w:t>
            </w:r>
          </w:p>
        </w:tc>
        <w:tc>
          <w:tcPr>
            <w:tcW w:w="809" w:type="dxa"/>
            <w:vAlign w:val="center"/>
          </w:tcPr>
          <w:p w14:paraId="3AE05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szCs w:val="22"/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08" w:type="dxa"/>
            <w:vAlign w:val="center"/>
          </w:tcPr>
          <w:p w14:paraId="2C331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szCs w:val="22"/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</w:tr>
      <w:tr w14:paraId="2B23DE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3" w:type="dxa"/>
            <w:shd w:val="clear" w:color="auto" w:fill="auto"/>
            <w:vAlign w:val="center"/>
          </w:tcPr>
          <w:p w14:paraId="7FB540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931" w:type="dxa"/>
            <w:shd w:val="clear" w:color="auto" w:fill="auto"/>
            <w:vAlign w:val="center"/>
          </w:tcPr>
          <w:p w14:paraId="582D5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电脑灯控制台</w:t>
            </w:r>
          </w:p>
        </w:tc>
        <w:tc>
          <w:tcPr>
            <w:tcW w:w="4071" w:type="dxa"/>
            <w:vAlign w:val="center"/>
          </w:tcPr>
          <w:p w14:paraId="329A64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sz w:val="22"/>
                <w:szCs w:val="22"/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                                                                                                            输出信号标准 DMX512国际标准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总通道数≥ 240路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可控电脑灯数量≥ 12台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可控电脑灯最大通道数≥ 16个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程序（场）数≥ 12场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程序最大步数（场景）≥ 40步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程序总步数（场景）≥ 480步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显示屏 LCD液晶显示屏，16×2字符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DMX512输出接口 3芯XLR针座及孔座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存储容量 ≥128K大容量记忆卡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输入电压 AC220V，50Hz-9V/1000MA</w:t>
            </w:r>
          </w:p>
        </w:tc>
        <w:tc>
          <w:tcPr>
            <w:tcW w:w="809" w:type="dxa"/>
            <w:vAlign w:val="center"/>
          </w:tcPr>
          <w:p w14:paraId="5875B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szCs w:val="22"/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08" w:type="dxa"/>
            <w:vAlign w:val="center"/>
          </w:tcPr>
          <w:p w14:paraId="4A1D5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szCs w:val="22"/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</w:tr>
      <w:tr w14:paraId="6C4E8D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3" w:type="dxa"/>
            <w:shd w:val="clear" w:color="auto" w:fill="auto"/>
            <w:vAlign w:val="center"/>
          </w:tcPr>
          <w:p w14:paraId="75ED34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931" w:type="dxa"/>
            <w:shd w:val="clear" w:color="auto" w:fill="auto"/>
            <w:vAlign w:val="center"/>
          </w:tcPr>
          <w:p w14:paraId="31493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电源直通箱</w:t>
            </w:r>
          </w:p>
        </w:tc>
        <w:tc>
          <w:tcPr>
            <w:tcW w:w="4071" w:type="dxa"/>
            <w:vAlign w:val="center"/>
          </w:tcPr>
          <w:p w14:paraId="3A1C44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sz w:val="22"/>
                <w:szCs w:val="22"/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                                                                                                                                                           供电：三相五线制AC380V±10％，频率50Hz±5％.                                                                                                                                                            额定功率≥12路×4KW;                                                                                                                                                                                   可适用于任何负载，过载与短路双重保护高分断空气开关.                                                                                                                                                     A.B.C三相工作指示灯.                                                                                                                                                                                   设两脚和三脚万能备用插座方便使用</w:t>
            </w:r>
          </w:p>
        </w:tc>
        <w:tc>
          <w:tcPr>
            <w:tcW w:w="809" w:type="dxa"/>
            <w:vAlign w:val="center"/>
          </w:tcPr>
          <w:p w14:paraId="6A490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szCs w:val="22"/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08" w:type="dxa"/>
            <w:vAlign w:val="center"/>
          </w:tcPr>
          <w:p w14:paraId="7CAA4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szCs w:val="22"/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</w:tr>
      <w:tr w14:paraId="4A0960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3" w:type="dxa"/>
            <w:shd w:val="clear" w:color="auto" w:fill="auto"/>
            <w:vAlign w:val="center"/>
          </w:tcPr>
          <w:p w14:paraId="07166B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931" w:type="dxa"/>
            <w:shd w:val="clear" w:color="auto" w:fill="auto"/>
            <w:vAlign w:val="center"/>
          </w:tcPr>
          <w:p w14:paraId="68527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铝合金灯钩</w:t>
            </w:r>
          </w:p>
        </w:tc>
        <w:tc>
          <w:tcPr>
            <w:tcW w:w="4071" w:type="dxa"/>
            <w:vAlign w:val="center"/>
          </w:tcPr>
          <w:p w14:paraId="365173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sz w:val="22"/>
                <w:szCs w:val="22"/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中型铝合金灯钩承重≥35Kg</w:t>
            </w:r>
          </w:p>
        </w:tc>
        <w:tc>
          <w:tcPr>
            <w:tcW w:w="809" w:type="dxa"/>
            <w:vAlign w:val="center"/>
          </w:tcPr>
          <w:p w14:paraId="23757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szCs w:val="22"/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008" w:type="dxa"/>
            <w:vAlign w:val="center"/>
          </w:tcPr>
          <w:p w14:paraId="5594A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szCs w:val="22"/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只</w:t>
            </w:r>
          </w:p>
        </w:tc>
      </w:tr>
      <w:tr w14:paraId="1E1577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3" w:type="dxa"/>
            <w:shd w:val="clear" w:color="auto" w:fill="auto"/>
            <w:vAlign w:val="center"/>
          </w:tcPr>
          <w:p w14:paraId="28691F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931" w:type="dxa"/>
            <w:shd w:val="clear" w:color="auto" w:fill="auto"/>
            <w:vAlign w:val="center"/>
          </w:tcPr>
          <w:p w14:paraId="2D1E0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安全链</w:t>
            </w:r>
          </w:p>
        </w:tc>
        <w:tc>
          <w:tcPr>
            <w:tcW w:w="4071" w:type="dxa"/>
            <w:vAlign w:val="center"/>
          </w:tcPr>
          <w:p w14:paraId="52C6B8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sz w:val="22"/>
                <w:szCs w:val="22"/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钢丝绳安全链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承受拉力200Kg</w:t>
            </w:r>
          </w:p>
        </w:tc>
        <w:tc>
          <w:tcPr>
            <w:tcW w:w="809" w:type="dxa"/>
            <w:vAlign w:val="center"/>
          </w:tcPr>
          <w:p w14:paraId="18C65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szCs w:val="22"/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008" w:type="dxa"/>
            <w:vAlign w:val="center"/>
          </w:tcPr>
          <w:p w14:paraId="37675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szCs w:val="22"/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</w:t>
            </w:r>
          </w:p>
        </w:tc>
      </w:tr>
      <w:tr w14:paraId="5C1D5E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3" w:type="dxa"/>
            <w:shd w:val="clear" w:color="auto" w:fill="auto"/>
            <w:vAlign w:val="center"/>
          </w:tcPr>
          <w:p w14:paraId="7A1A69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931" w:type="dxa"/>
            <w:shd w:val="clear" w:color="auto" w:fill="auto"/>
            <w:vAlign w:val="center"/>
          </w:tcPr>
          <w:p w14:paraId="52E09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信号线</w:t>
            </w:r>
          </w:p>
        </w:tc>
        <w:tc>
          <w:tcPr>
            <w:tcW w:w="4071" w:type="dxa"/>
            <w:vAlign w:val="center"/>
          </w:tcPr>
          <w:p w14:paraId="76B58D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sz w:val="22"/>
                <w:szCs w:val="22"/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2*0.3+128网 2芯信号线</w:t>
            </w:r>
          </w:p>
        </w:tc>
        <w:tc>
          <w:tcPr>
            <w:tcW w:w="809" w:type="dxa"/>
            <w:vAlign w:val="center"/>
          </w:tcPr>
          <w:p w14:paraId="6EB29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szCs w:val="22"/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1008" w:type="dxa"/>
            <w:vAlign w:val="center"/>
          </w:tcPr>
          <w:p w14:paraId="65146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szCs w:val="22"/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</w:tr>
      <w:tr w14:paraId="187BED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3" w:type="dxa"/>
            <w:shd w:val="clear" w:color="auto" w:fill="auto"/>
            <w:vAlign w:val="center"/>
          </w:tcPr>
          <w:p w14:paraId="042943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1931" w:type="dxa"/>
            <w:shd w:val="clear" w:color="auto" w:fill="auto"/>
            <w:vAlign w:val="center"/>
          </w:tcPr>
          <w:p w14:paraId="507CF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电源线</w:t>
            </w:r>
          </w:p>
        </w:tc>
        <w:tc>
          <w:tcPr>
            <w:tcW w:w="4071" w:type="dxa"/>
            <w:vAlign w:val="center"/>
          </w:tcPr>
          <w:p w14:paraId="711102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sz w:val="22"/>
                <w:szCs w:val="22"/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3*2.5平方电缆</w:t>
            </w:r>
          </w:p>
        </w:tc>
        <w:tc>
          <w:tcPr>
            <w:tcW w:w="809" w:type="dxa"/>
            <w:vAlign w:val="center"/>
          </w:tcPr>
          <w:p w14:paraId="0046E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szCs w:val="22"/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1008" w:type="dxa"/>
            <w:vAlign w:val="center"/>
          </w:tcPr>
          <w:p w14:paraId="2F4BD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szCs w:val="22"/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</w:tr>
      <w:tr w14:paraId="6FD244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3" w:type="dxa"/>
            <w:shd w:val="clear" w:color="auto" w:fill="auto"/>
            <w:vAlign w:val="center"/>
          </w:tcPr>
          <w:p w14:paraId="66CACE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1931" w:type="dxa"/>
            <w:shd w:val="clear" w:color="auto" w:fill="auto"/>
            <w:vAlign w:val="center"/>
          </w:tcPr>
          <w:p w14:paraId="51527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其他辅材</w:t>
            </w:r>
          </w:p>
        </w:tc>
        <w:tc>
          <w:tcPr>
            <w:tcW w:w="4071" w:type="dxa"/>
            <w:vAlign w:val="center"/>
          </w:tcPr>
          <w:p w14:paraId="3078E5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sz w:val="22"/>
                <w:szCs w:val="22"/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卡侬公母插头等辅材</w:t>
            </w:r>
          </w:p>
        </w:tc>
        <w:tc>
          <w:tcPr>
            <w:tcW w:w="809" w:type="dxa"/>
            <w:vAlign w:val="center"/>
          </w:tcPr>
          <w:p w14:paraId="5549E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szCs w:val="22"/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08" w:type="dxa"/>
            <w:vAlign w:val="center"/>
          </w:tcPr>
          <w:p w14:paraId="08456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szCs w:val="22"/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</w:t>
            </w:r>
          </w:p>
        </w:tc>
      </w:tr>
      <w:tr w14:paraId="45599F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3" w:type="dxa"/>
            <w:shd w:val="clear" w:color="auto" w:fill="auto"/>
            <w:vAlign w:val="center"/>
          </w:tcPr>
          <w:p w14:paraId="5D4F83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1931" w:type="dxa"/>
            <w:shd w:val="clear" w:color="auto" w:fill="auto"/>
            <w:vAlign w:val="center"/>
          </w:tcPr>
          <w:p w14:paraId="2D74D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灯光吊杆</w:t>
            </w:r>
          </w:p>
        </w:tc>
        <w:tc>
          <w:tcPr>
            <w:tcW w:w="4071" w:type="dxa"/>
            <w:vAlign w:val="center"/>
          </w:tcPr>
          <w:p w14:paraId="3A8CD6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sz w:val="22"/>
                <w:szCs w:val="22"/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黑色油漆现场定制满足灯光吊挂要求</w:t>
            </w:r>
          </w:p>
        </w:tc>
        <w:tc>
          <w:tcPr>
            <w:tcW w:w="809" w:type="dxa"/>
            <w:vAlign w:val="center"/>
          </w:tcPr>
          <w:p w14:paraId="28437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szCs w:val="22"/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08" w:type="dxa"/>
            <w:vAlign w:val="center"/>
          </w:tcPr>
          <w:p w14:paraId="65576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szCs w:val="22"/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</w:tr>
      <w:tr w14:paraId="1F73C2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534588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1931" w:type="dxa"/>
            <w:shd w:val="clear" w:color="auto" w:fill="auto"/>
            <w:vAlign w:val="center"/>
          </w:tcPr>
          <w:p w14:paraId="59B64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安装费、调试费</w:t>
            </w:r>
          </w:p>
        </w:tc>
        <w:tc>
          <w:tcPr>
            <w:tcW w:w="4071" w:type="dxa"/>
          </w:tcPr>
          <w:p w14:paraId="3A2706B7">
            <w:pPr>
              <w:rPr>
                <w:rFonts w:hint="eastAsia" w:ascii="等线" w:hAnsi="等线" w:eastAsia="等线" w:cs="等线"/>
                <w:sz w:val="22"/>
                <w:szCs w:val="22"/>
                <w:vertAlign w:val="baseline"/>
              </w:rPr>
            </w:pPr>
            <w:r>
              <w:rPr>
                <w:rFonts w:hint="eastAsia" w:ascii="等线" w:hAnsi="等线" w:eastAsia="等线" w:cs="等线"/>
                <w:sz w:val="22"/>
                <w:szCs w:val="22"/>
                <w:vertAlign w:val="baseline"/>
              </w:rPr>
              <w:t>设备的布线安装调试</w:t>
            </w:r>
          </w:p>
        </w:tc>
        <w:tc>
          <w:tcPr>
            <w:tcW w:w="809" w:type="dxa"/>
            <w:vAlign w:val="center"/>
          </w:tcPr>
          <w:p w14:paraId="6759A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szCs w:val="22"/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08" w:type="dxa"/>
            <w:vAlign w:val="center"/>
          </w:tcPr>
          <w:p w14:paraId="7787D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sz w:val="22"/>
                <w:szCs w:val="22"/>
                <w:vertAlign w:val="baseli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</w:t>
            </w:r>
          </w:p>
        </w:tc>
      </w:tr>
    </w:tbl>
    <w:p w14:paraId="20D73A60">
      <w:pPr>
        <w:spacing w:line="360" w:lineRule="auto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四、项目技术要求</w:t>
      </w:r>
    </w:p>
    <w:p w14:paraId="07FD691B">
      <w:pPr>
        <w:pStyle w:val="2"/>
        <w:tabs>
          <w:tab w:val="left" w:pos="540"/>
        </w:tabs>
        <w:adjustRightInd w:val="0"/>
        <w:snapToGrid w:val="0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服务标准：本项目将严格按规范化的质量体系文件进行操作，加强项目质量管理，规范管理工作程序，提高服务质量，符合</w:t>
      </w:r>
      <w:r>
        <w:rPr>
          <w:rFonts w:hint="eastAsia" w:ascii="宋体" w:hAnsi="宋体" w:cs="宋体"/>
          <w:sz w:val="24"/>
          <w:szCs w:val="24"/>
          <w:lang w:val="en-US" w:eastAsia="zh-CN"/>
        </w:rPr>
        <w:t>招标文件要求的技术</w:t>
      </w:r>
      <w:r>
        <w:rPr>
          <w:rFonts w:hint="eastAsia" w:ascii="宋体" w:hAnsi="宋体" w:eastAsia="宋体" w:cs="宋体"/>
          <w:sz w:val="24"/>
          <w:szCs w:val="24"/>
        </w:rPr>
        <w:t>标准及其它有关国家标准和规范为准</w:t>
      </w:r>
      <w:r>
        <w:rPr>
          <w:rFonts w:hint="eastAsia" w:ascii="宋体" w:hAnsi="宋体" w:cs="宋体"/>
          <w:sz w:val="24"/>
          <w:szCs w:val="24"/>
          <w:lang w:eastAsia="zh-CN"/>
        </w:rPr>
        <w:t>。</w:t>
      </w:r>
    </w:p>
    <w:p w14:paraId="217CFBD7">
      <w:pPr>
        <w:pStyle w:val="2"/>
        <w:tabs>
          <w:tab w:val="left" w:pos="540"/>
        </w:tabs>
        <w:adjustRightInd w:val="0"/>
        <w:snapToGrid w:val="0"/>
        <w:spacing w:line="360" w:lineRule="auto"/>
        <w:ind w:firstLine="241" w:firstLineChars="100"/>
        <w:rPr>
          <w:rFonts w:hint="eastAsia" w:hAnsi="宋体" w:eastAsia="宋体" w:cs="宋体"/>
          <w:b/>
          <w:sz w:val="24"/>
          <w:szCs w:val="24"/>
        </w:rPr>
      </w:pPr>
      <w:r>
        <w:rPr>
          <w:rFonts w:hint="eastAsia" w:hAnsi="宋体" w:eastAsia="宋体" w:cs="宋体"/>
          <w:b/>
          <w:sz w:val="24"/>
          <w:szCs w:val="24"/>
          <w:u w:val="none"/>
        </w:rPr>
        <w:t>2.</w:t>
      </w:r>
      <w:r>
        <w:rPr>
          <w:rFonts w:hint="eastAsia" w:hAnsi="宋体" w:eastAsia="宋体" w:cs="宋体"/>
          <w:b/>
          <w:sz w:val="24"/>
          <w:szCs w:val="24"/>
        </w:rPr>
        <w:t>标准和规范的冲突处理：</w:t>
      </w:r>
    </w:p>
    <w:p w14:paraId="40EFCA71">
      <w:pPr>
        <w:pStyle w:val="2"/>
        <w:tabs>
          <w:tab w:val="left" w:pos="540"/>
        </w:tabs>
        <w:adjustRightInd w:val="0"/>
        <w:snapToGrid w:val="0"/>
        <w:spacing w:line="360" w:lineRule="auto"/>
        <w:rPr>
          <w:rFonts w:hint="eastAsia" w:hAnsi="宋体" w:eastAsia="宋体" w:cs="宋体"/>
          <w:sz w:val="24"/>
          <w:szCs w:val="24"/>
        </w:rPr>
      </w:pPr>
      <w:r>
        <w:rPr>
          <w:rFonts w:hint="eastAsia" w:hAnsi="宋体" w:eastAsia="宋体" w:cs="宋体"/>
          <w:sz w:val="24"/>
          <w:szCs w:val="24"/>
        </w:rPr>
        <w:t>（一）标准、规范之间发生冲突时，采用要求最为严格的标准、规范。</w:t>
      </w:r>
    </w:p>
    <w:p w14:paraId="4DA499B1">
      <w:pPr>
        <w:pStyle w:val="2"/>
        <w:tabs>
          <w:tab w:val="left" w:pos="540"/>
        </w:tabs>
        <w:adjustRightInd w:val="0"/>
        <w:snapToGrid w:val="0"/>
        <w:spacing w:line="360" w:lineRule="auto"/>
        <w:rPr>
          <w:rFonts w:hint="eastAsia" w:hAnsi="宋体" w:eastAsia="宋体" w:cs="宋体"/>
          <w:sz w:val="24"/>
          <w:szCs w:val="24"/>
        </w:rPr>
      </w:pPr>
      <w:r>
        <w:rPr>
          <w:rFonts w:hint="eastAsia" w:hAnsi="宋体" w:eastAsia="宋体" w:cs="宋体"/>
          <w:sz w:val="24"/>
          <w:szCs w:val="24"/>
        </w:rPr>
        <w:t>（二）标准、规范与本技术规格书要求之间发生冲突时，采用其中最为严格的要求。</w:t>
      </w:r>
    </w:p>
    <w:p w14:paraId="0D05B3BA">
      <w:pPr>
        <w:pStyle w:val="2"/>
        <w:tabs>
          <w:tab w:val="left" w:pos="540"/>
        </w:tabs>
        <w:adjustRightInd w:val="0"/>
        <w:snapToGrid w:val="0"/>
        <w:spacing w:line="360" w:lineRule="auto"/>
        <w:rPr>
          <w:rFonts w:hint="eastAsia" w:hAnsi="宋体" w:eastAsia="宋体" w:cs="宋体"/>
          <w:sz w:val="24"/>
          <w:szCs w:val="24"/>
        </w:rPr>
      </w:pPr>
      <w:r>
        <w:rPr>
          <w:rFonts w:hint="eastAsia" w:hAnsi="宋体" w:eastAsia="宋体" w:cs="宋体"/>
          <w:sz w:val="24"/>
          <w:szCs w:val="24"/>
        </w:rPr>
        <w:t>（三）国内外规范标准发生矛盾时，以国内规范标准执行。</w:t>
      </w:r>
    </w:p>
    <w:p w14:paraId="77D0C2B5">
      <w:pPr>
        <w:pStyle w:val="2"/>
        <w:tabs>
          <w:tab w:val="left" w:pos="540"/>
        </w:tabs>
        <w:adjustRightInd w:val="0"/>
        <w:snapToGrid w:val="0"/>
        <w:spacing w:line="360" w:lineRule="auto"/>
        <w:rPr>
          <w:rFonts w:hint="eastAsia" w:ascii="宋体" w:hAnsi="宋体" w:eastAsia="宋体" w:cs="宋体"/>
          <w:szCs w:val="21"/>
        </w:rPr>
      </w:pPr>
      <w:r>
        <w:rPr>
          <w:rFonts w:hint="eastAsia" w:hAnsi="宋体" w:eastAsia="宋体" w:cs="宋体"/>
          <w:sz w:val="24"/>
          <w:szCs w:val="24"/>
        </w:rPr>
        <w:t>（四）如果国家有新的行业标准公布，则按新标准执行。</w:t>
      </w:r>
    </w:p>
    <w:p w14:paraId="2BF54117">
      <w:pPr>
        <w:spacing w:line="360" w:lineRule="auto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五、项目商务要求</w:t>
      </w:r>
    </w:p>
    <w:p w14:paraId="4E0A1C94">
      <w:pPr>
        <w:spacing w:line="500" w:lineRule="exact"/>
        <w:ind w:firstLine="241" w:firstLineChars="1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1、免费保修期内售后服务要求</w:t>
      </w:r>
    </w:p>
    <w:p w14:paraId="31392C05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</w:t>
      </w:r>
      <w:r>
        <w:rPr>
          <w:rFonts w:hint="eastAsia" w:ascii="宋体" w:hAnsi="宋体" w:eastAsia="宋体" w:cs="宋体"/>
          <w:sz w:val="24"/>
          <w:szCs w:val="24"/>
        </w:rPr>
        <w:t>）在保修期内，一旦发生质量问题，中标人保证在质保期内提供 24 小时响应服务，接到故障通知后，维修人员需在 4 小时内到达现场，一般故障 24 小时内解决，重大故障 3 天内解决。</w:t>
      </w:r>
    </w:p>
    <w:p w14:paraId="5CDB9ED1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sz w:val="24"/>
          <w:szCs w:val="24"/>
        </w:rPr>
        <w:t>）定期巡检：在质保期内每年至少提供 2 次免费巡检，检查设备运行状况，进行必要的维护保养。</w:t>
      </w:r>
    </w:p>
    <w:p w14:paraId="7BDCD1F6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sz w:val="24"/>
          <w:szCs w:val="24"/>
        </w:rPr>
        <w:t>）质保期后提供终身维护服务，收取合理的材料与人工费用，确保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系统</w:t>
      </w:r>
      <w:r>
        <w:rPr>
          <w:rFonts w:hint="eastAsia" w:ascii="宋体" w:hAnsi="宋体" w:eastAsia="宋体" w:cs="宋体"/>
          <w:sz w:val="24"/>
          <w:szCs w:val="24"/>
        </w:rPr>
        <w:t>长期稳定运行。</w:t>
      </w:r>
    </w:p>
    <w:p w14:paraId="4761BEE4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4</w:t>
      </w:r>
      <w:r>
        <w:rPr>
          <w:rFonts w:hint="eastAsia" w:ascii="宋体" w:hAnsi="宋体" w:eastAsia="宋体" w:cs="宋体"/>
          <w:sz w:val="24"/>
          <w:szCs w:val="24"/>
        </w:rPr>
        <w:t>）提供完整的技术资料，包括设备说明书、电路图、维护手册等。负责设备运输、装卸，确保设备在运输过程中不受损坏，运输费用由供应商承担。配合学校完成相关验收工作，提供必要的检测报告和证明文件。</w:t>
      </w:r>
    </w:p>
    <w:p w14:paraId="0B22CD4C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2、关于交货</w:t>
      </w:r>
    </w:p>
    <w:p w14:paraId="46758AD0">
      <w:pPr>
        <w:spacing w:line="360" w:lineRule="auto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  <w:szCs w:val="24"/>
        </w:rPr>
        <w:t>（1）工期：</w:t>
      </w:r>
      <w:r>
        <w:rPr>
          <w:rFonts w:hint="eastAsia" w:ascii="宋体" w:hAnsi="宋体" w:eastAsia="宋体" w:cs="宋体"/>
          <w:sz w:val="24"/>
        </w:rPr>
        <w:t>本项目要求在进场施工日起</w:t>
      </w:r>
      <w:r>
        <w:rPr>
          <w:rFonts w:hint="eastAsia" w:ascii="宋体" w:hAnsi="宋体" w:cs="宋体"/>
          <w:sz w:val="24"/>
          <w:lang w:val="en-US" w:eastAsia="zh-CN"/>
        </w:rPr>
        <w:t>15</w:t>
      </w:r>
      <w:r>
        <w:rPr>
          <w:rFonts w:hint="eastAsia" w:ascii="宋体" w:hAnsi="宋体" w:eastAsia="宋体" w:cs="宋体"/>
          <w:sz w:val="24"/>
        </w:rPr>
        <w:t>个日历日内完工，进场施工时间由</w:t>
      </w:r>
      <w:r>
        <w:rPr>
          <w:rFonts w:hint="eastAsia" w:ascii="宋体" w:hAnsi="宋体" w:cs="宋体"/>
          <w:sz w:val="24"/>
          <w:lang w:val="en-US" w:eastAsia="zh-CN"/>
        </w:rPr>
        <w:t>采购</w:t>
      </w:r>
      <w:r>
        <w:rPr>
          <w:rFonts w:hint="eastAsia" w:ascii="宋体" w:hAnsi="宋体" w:eastAsia="宋体" w:cs="宋体"/>
          <w:sz w:val="24"/>
        </w:rPr>
        <w:t>确定。</w:t>
      </w:r>
    </w:p>
    <w:p w14:paraId="69469C9E">
      <w:pPr>
        <w:spacing w:line="360" w:lineRule="auto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（2）合同方式：总价包干</w:t>
      </w:r>
    </w:p>
    <w:p w14:paraId="78CFE6B1">
      <w:pPr>
        <w:spacing w:line="360" w:lineRule="auto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（3）中标人必须承担清单内</w:t>
      </w:r>
      <w:r>
        <w:rPr>
          <w:rFonts w:hint="eastAsia" w:ascii="宋体" w:hAnsi="宋体" w:eastAsia="宋体" w:cs="宋体"/>
          <w:sz w:val="24"/>
          <w:lang w:val="en-US" w:eastAsia="zh-CN"/>
        </w:rPr>
        <w:t>所有</w:t>
      </w:r>
      <w:r>
        <w:rPr>
          <w:rFonts w:hint="eastAsia" w:ascii="宋体" w:hAnsi="宋体" w:eastAsia="宋体" w:cs="宋体"/>
          <w:sz w:val="24"/>
        </w:rPr>
        <w:t>设备运输、</w:t>
      </w:r>
      <w:r>
        <w:rPr>
          <w:rFonts w:hint="eastAsia" w:ascii="宋体" w:hAnsi="宋体" w:eastAsia="宋体" w:cs="宋体"/>
          <w:sz w:val="24"/>
          <w:lang w:val="en-US" w:eastAsia="zh-CN"/>
        </w:rPr>
        <w:t>安装</w:t>
      </w:r>
      <w:r>
        <w:rPr>
          <w:rFonts w:hint="eastAsia" w:ascii="宋体" w:hAnsi="宋体" w:eastAsia="宋体" w:cs="宋体"/>
          <w:sz w:val="24"/>
        </w:rPr>
        <w:t>等其他类似的义务。</w:t>
      </w:r>
    </w:p>
    <w:p w14:paraId="101A099D">
      <w:pPr>
        <w:spacing w:line="360" w:lineRule="auto"/>
        <w:ind w:firstLine="0" w:firstLineChars="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3、关于验收</w:t>
      </w:r>
    </w:p>
    <w:p w14:paraId="4C54323F">
      <w:pPr>
        <w:pStyle w:val="7"/>
        <w:spacing w:line="360" w:lineRule="auto"/>
        <w:ind w:firstLine="0" w:firstLineChars="0"/>
        <w:rPr>
          <w:rFonts w:hint="eastAsia" w:ascii="宋体" w:hAnsi="宋体" w:eastAsia="宋体" w:cs="宋体"/>
          <w:color w:val="000000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szCs w:val="24"/>
        </w:rPr>
        <w:t>（1）支付方式：验收合格后一次性支付完成100%中标款项。</w:t>
      </w:r>
    </w:p>
    <w:p w14:paraId="2DF89100"/>
    <w:sectPr>
      <w:pgSz w:w="11906" w:h="16838"/>
      <w:pgMar w:top="1440" w:right="1286" w:bottom="1440" w:left="13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ABCC023"/>
    <w:multiLevelType w:val="singleLevel"/>
    <w:tmpl w:val="8ABCC023"/>
    <w:lvl w:ilvl="0" w:tentative="0">
      <w:start w:val="1"/>
      <w:numFmt w:val="decimal"/>
      <w:suff w:val="nothing"/>
      <w:lvlText w:val="%1、"/>
      <w:lvlJc w:val="left"/>
      <w:pPr>
        <w:ind w:left="0" w:leftChars="0" w:firstLine="0" w:firstLineChars="0"/>
      </w:pPr>
    </w:lvl>
  </w:abstractNum>
  <w:abstractNum w:abstractNumId="1">
    <w:nsid w:val="6EC3CFE2"/>
    <w:multiLevelType w:val="singleLevel"/>
    <w:tmpl w:val="6EC3CFE2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D7B2799"/>
    <w:rsid w:val="6B2E32C7"/>
    <w:rsid w:val="786A5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 w:cs="Courier New"/>
      <w:szCs w:val="21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">
    <w:name w:val="font11"/>
    <w:basedOn w:val="5"/>
    <w:qFormat/>
    <w:uiPriority w:val="0"/>
    <w:rPr>
      <w:rFonts w:hint="eastAsia" w:ascii="等线" w:hAnsi="等线" w:eastAsia="等线" w:cs="等线"/>
      <w:color w:val="000000"/>
      <w:sz w:val="20"/>
      <w:szCs w:val="20"/>
      <w:u w:val="none"/>
    </w:rPr>
  </w:style>
  <w:style w:type="paragraph" w:customStyle="1" w:styleId="7">
    <w:name w:val="_Style 5"/>
    <w:qFormat/>
    <w:uiPriority w:val="0"/>
    <w:pPr>
      <w:widowControl w:val="0"/>
      <w:ind w:firstLine="200" w:firstLineChars="200"/>
      <w:jc w:val="both"/>
    </w:pPr>
    <w:rPr>
      <w:rFonts w:ascii="Times New Roman" w:hAnsi="Times New Roman" w:eastAsia="宋体" w:cs="Times New Roman"/>
      <w:kern w:val="2"/>
      <w:sz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293</Words>
  <Characters>329</Characters>
  <Lines>0</Lines>
  <Paragraphs>0</Paragraphs>
  <TotalTime>9</TotalTime>
  <ScaleCrop>false</ScaleCrop>
  <LinksUpToDate>false</LinksUpToDate>
  <CharactersWithSpaces>330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2026-11-05T03:12:00Z</dcterms:created>
  <dc:creator>SFLS</dc:creator>
  <cp:lastModifiedBy>黄路斌</cp:lastModifiedBy>
  <dcterms:modified xsi:type="dcterms:W3CDTF">2026-11-05T03:34:21Z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eyJoZGlkIjoiZThhOGJiMmU4OGNjYzUwYTQxMWIwODcyNjBlYTEyNmEiLCJ1c2VySWQiOiIxNTY4NjU1ODIxIn0=</vt:lpwstr>
  </property>
  <property fmtid="{D5CDD505-2E9C-101B-9397-08002B2CF9AE}" pid="4" name="ICV">
    <vt:lpwstr>B075DDAD35C349578FD617144D44B631_12</vt:lpwstr>
  </property>
</Properties>
</file>