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F9155170">
      <w:pPr>
        <w:rPr>
          <w:rFonts w:hint="eastAsia" w:ascii="方正仿宋_GB2312" w:hAnsi="方正仿宋_GB2312" w:eastAsia="方正仿宋_GB2312" w:cs="方正仿宋_GB2312"/>
          <w:sz w:val="21"/>
          <w:szCs w:val="21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21"/>
          <w:szCs w:val="21"/>
          <w:lang w:val="en-US"/>
        </w:rPr>
        <w:t>附件:采购项目清单</w:t>
      </w:r>
    </w:p>
    <w:p w14:paraId="647B410E">
      <w:pPr>
        <w:numPr>
          <w:ilvl w:val="0"/>
          <w:numId w:val="1"/>
        </w:numPr>
        <w:spacing w:line="360" w:lineRule="auto"/>
        <w:jc w:val="left"/>
        <w:rPr>
          <w:rFonts w:hint="eastAsia" w:ascii="方正仿宋_GB2312" w:hAnsi="方正仿宋_GB2312" w:eastAsia="方正仿宋_GB2312" w:cs="方正仿宋_GB2312"/>
          <w:sz w:val="21"/>
          <w:szCs w:val="21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sz w:val="21"/>
          <w:szCs w:val="21"/>
          <w:lang w:val="en-US"/>
        </w:rPr>
        <w:t>采购清单</w:t>
      </w:r>
    </w:p>
    <w:tbl>
      <w:tblPr>
        <w:tblStyle w:val="9"/>
        <w:tblW w:w="830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90"/>
        <w:gridCol w:w="2629"/>
        <w:gridCol w:w="615"/>
        <w:gridCol w:w="732"/>
        <w:gridCol w:w="591"/>
        <w:gridCol w:w="591"/>
        <w:gridCol w:w="595"/>
        <w:gridCol w:w="1960"/>
      </w:tblGrid>
      <w:tr w14:paraId="5422A8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Header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0D52CAD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序号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43DB4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货物名称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415F0F5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数量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34620A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单位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77FC714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default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品牌型号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8A51ED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单价</w:t>
            </w: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0CACDCF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小计</w:t>
            </w: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82C920A">
            <w:pPr>
              <w:widowControl/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hint="eastAsia" w:ascii="方正仿宋_GB2312" w:hAnsi="方正仿宋_GB2312" w:eastAsia="方正仿宋_GB2312" w:cs="方正仿宋_GB2312"/>
                <w:b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 w:val="0"/>
                <w:i w:val="0"/>
                <w:iCs w:val="0"/>
                <w:color w:val="000000"/>
                <w:kern w:val="0"/>
                <w:sz w:val="21"/>
                <w:szCs w:val="21"/>
                <w:highlight w:val="none"/>
                <w:vertAlign w:val="baseline"/>
                <w:lang w:val="en-US" w:eastAsia="zh-CN" w:bidi="ar-SA"/>
              </w:rPr>
              <w:t>备注</w:t>
            </w:r>
          </w:p>
        </w:tc>
      </w:tr>
      <w:tr w14:paraId="2F43E7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CC6FF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B11E38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常规型密集架（6层）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F97898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57.33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8898CB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立方米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BFAE1D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CA15DA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C6F945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16EEFB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质保期：柜体10年</w:t>
            </w:r>
          </w:p>
        </w:tc>
      </w:tr>
      <w:tr w14:paraId="72EE2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DE694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4C3CCC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档案存取车梯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19B5D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FBB90A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0E64C7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989821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535144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05BCE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1B876B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815349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3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0C1953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档案库房专用灭火设备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EED3013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0609B9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瓶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F62C7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AC2B03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C5AED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3BD0BF7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5CB0B0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0265D2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4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77B11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档案室专用温湿度计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DAB59C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A50465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F729B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270474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81AAD58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9942AC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44DFDC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B7CB76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5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7A407A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档案室专用抽湿机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BF13C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2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1AB96A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BD9A16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6CE23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2810D1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E18E7D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7DA1F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AA2FC6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6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40786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档案库房专用档案杀虫药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C11D222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500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9ED506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包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1A2F9B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9E7D8F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F8F25B2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3C650F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7DD47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CAA3872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7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EC316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物流搬运费用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6E284E9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1559D2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套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3E281DB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0ECEE3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48D0E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DCCCC7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  <w:tr w14:paraId="5C30B5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FDC7D4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8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7E026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安装调试费用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2A6067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1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670162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项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83082D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FC56ED8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87A398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603FAE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不含材料上架、归档</w:t>
            </w:r>
          </w:p>
        </w:tc>
      </w:tr>
      <w:tr w14:paraId="5FC65B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jc w:val="center"/>
        </w:trPr>
        <w:tc>
          <w:tcPr>
            <w:tcW w:w="59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707513E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合计</w:t>
            </w:r>
          </w:p>
        </w:tc>
        <w:tc>
          <w:tcPr>
            <w:tcW w:w="262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4C84E0D2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  <w:tc>
          <w:tcPr>
            <w:tcW w:w="6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A49A8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  <w:tc>
          <w:tcPr>
            <w:tcW w:w="732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366125F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5C74EC8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1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1B9B86B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5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2253E95C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</w:p>
        </w:tc>
        <w:tc>
          <w:tcPr>
            <w:tcW w:w="19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auto"/>
            <w:tcMar>
              <w:top w:w="10" w:type="dxa"/>
              <w:left w:w="10" w:type="dxa"/>
              <w:right w:w="10" w:type="dxa"/>
            </w:tcMar>
            <w:vAlign w:val="center"/>
          </w:tcPr>
          <w:p w14:paraId="0E4D5A7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</w:rPr>
              <w:t>—</w:t>
            </w:r>
          </w:p>
        </w:tc>
      </w:tr>
    </w:tbl>
    <w:p w14:paraId="4DBBFF2D">
      <w:pPr>
        <w:pStyle w:val="8"/>
        <w:keepNext w:val="0"/>
        <w:keepLines w:val="0"/>
        <w:widowControl/>
        <w:suppressLineNumbers w:val="0"/>
        <w:kinsoku/>
        <w:wordWrap/>
        <w:overflowPunct/>
        <w:bidi w:val="0"/>
        <w:snapToGrid w:val="0"/>
        <w:spacing w:before="0" w:beforeAutospacing="0" w:after="0" w:afterAutospacing="0" w:line="360" w:lineRule="auto"/>
        <w:ind w:left="0" w:leftChars="0" w:right="0" w:rightChars="0" w:firstLine="231" w:firstLineChars="110"/>
        <w:jc w:val="left"/>
        <w:textAlignment w:val="center"/>
        <w:rPr>
          <w:rFonts w:hint="eastAsia" w:ascii="方正仿宋_GB2312" w:hAnsi="方正仿宋_GB2312" w:eastAsia="方正仿宋_GB2312" w:cs="方正仿宋_GB2312"/>
          <w:b w:val="0"/>
          <w:bCs w:val="0"/>
          <w:i w:val="0"/>
          <w:iCs w:val="0"/>
          <w:color w:val="000000"/>
          <w:kern w:val="2"/>
          <w:sz w:val="21"/>
          <w:szCs w:val="21"/>
          <w:highlight w:val="none"/>
          <w:vertAlign w:val="baseline"/>
          <w:lang w:val="en-US" w:eastAsia="zh-CN" w:bidi="ar-SA"/>
        </w:rPr>
      </w:pPr>
      <w:r>
        <w:rPr>
          <w:rFonts w:hint="eastAsia" w:ascii="方正仿宋_GB2312" w:hAnsi="方正仿宋_GB2312" w:eastAsia="方正仿宋_GB2312" w:cs="方正仿宋_GB2312"/>
          <w:color w:val="000000"/>
          <w:kern w:val="0"/>
          <w:sz w:val="21"/>
          <w:szCs w:val="21"/>
          <w:lang w:val="en-US" w:eastAsia="zh-CN"/>
        </w:rPr>
        <w:t>投标总价必须是完成该项目的一切费用总和，包括设备费、运输费、装卸费、保险费、技术培训费、设备安装费、调试费、售后服务费、国家规定的各项税费等全部费用；</w:t>
      </w:r>
    </w:p>
    <w:p w14:paraId="7AD3BA6C">
      <w:pPr>
        <w:spacing w:line="360" w:lineRule="auto"/>
        <w:rPr>
          <w:rFonts w:hint="eastAsia" w:ascii="方正仿宋_GB2312" w:hAnsi="方正仿宋_GB2312" w:eastAsia="方正仿宋_GB2312" w:cs="方正仿宋_GB2312"/>
          <w:sz w:val="21"/>
          <w:szCs w:val="21"/>
          <w:lang w:val="en-US"/>
        </w:rPr>
      </w:pPr>
      <w:r>
        <w:rPr>
          <w:rFonts w:hint="eastAsia" w:ascii="方正仿宋_GB2312" w:hAnsi="方正仿宋_GB2312" w:eastAsia="方正仿宋_GB2312" w:cs="方正仿宋_GB2312"/>
          <w:sz w:val="21"/>
          <w:szCs w:val="21"/>
          <w:lang w:val="en-US"/>
        </w:rPr>
        <w:t>二、技术要求</w:t>
      </w:r>
    </w:p>
    <w:tbl>
      <w:tblPr>
        <w:tblStyle w:val="9"/>
        <w:tblW w:w="8307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13"/>
        <w:gridCol w:w="994"/>
        <w:gridCol w:w="6600"/>
      </w:tblGrid>
      <w:tr w14:paraId="7C8593C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2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A90C41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01022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货品名称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8EF1F6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招标参数</w:t>
            </w:r>
          </w:p>
        </w:tc>
      </w:tr>
      <w:tr w14:paraId="65962F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884B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AAE67E6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常规型密集架（6层）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B45E11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不少于6层13列，存储容量≥57.33m³，规格：长3m×高2.45m×宽0.6m；架体采用GB标准冷轧钢板，厚度≥3.0mm。质保期：柜体≥10年。</w:t>
            </w:r>
          </w:p>
          <w:p w14:paraId="2806E3FE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生产过程中材料、工艺均采用国家标准执行， 符合GB/T 13667.3-2013《钢制书架 第3部分：手动密集书架》国家标准技术参数。</w:t>
            </w:r>
          </w:p>
          <w:p w14:paraId="376FD55A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底梁、轴承档、夹紧块：采用 2.3mm 优质热轧钢板，底盘采用分段焊接后整体组装式，连接牢固、运输、安装方便，底盘各段连接采用Ml0螺栓紧固，滚轮横梁采用四折成型，确保在外力作用下无任何变形情况发生。底梁下部装有防倒支架以防架体倾倒。底盘两端封头横梁与纵梁牢固焊接，在直角处上、下两平面均焊上三角形加强板，有效保证底盘架体不扭曲、错位、变形，架体在轨移动轻便、平滑、平整。▲密集架产品符合①硬度≥0.6；②冲击强度（冲击高度500mm，应无剥落、裂纹、皱纹）；③附着力 ≤1 级；④耐腐蚀≥1000h；⑤甲醛释放量≤0.05mg/m3 、苯≤0.05mg/m3 、甲苯≤0.1mg/m3 、二甲苯≤0.1mg/m3 、总挥发性有机化合物TVOC≤0.3mg/m3 ；⑥可迁移元素：铅＜0.5mg/kg、镉＜0.5mg/kg、汞＜0.5mg/kg、铬＜0.5mg/kg、锑＜0.5mg/kg、钡＜0.5mg/kg、砷＜0.5mg/kg、硒＜0.5mg/kg；⑦装配要求；⑧搁板静载荷(载荷值：900N)；⑨全静载荷；⑩载重运行；⑪防尘门打开时的空载稳定性；⑫防尘门打开时的加载稳定性（1000N）；⑬活动部件关闭时的空载稳定性；⑭活动部件关闭时的加载稳定性；⑮搁板水平加载稳定性（100N）；⑯中性盐雾1000小时,达到10级；⑰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投标人或其制造商提供第三方检验机构出具的检验报告</w:t>
            </w:r>
          </w:p>
          <w:p w14:paraId="41087C5B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轨道：导轨采用20*20mm实心方钢，轨道板采用2.3mm优质热轧钢板。</w:t>
            </w:r>
          </w:p>
          <w:p w14:paraId="499A357D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▲立柱（双P型立柱）产品符合：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2E2FBC7F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▲挂板（（双菱形孔挂板）产品符合：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4534BB8C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▲搁板（双P型搁板）产品符合：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471829A6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▲档棒（U型挡棒）：产品符合：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投标人或其制造商提供第三方检验机构出具的检验报告</w:t>
            </w:r>
          </w:p>
          <w:p w14:paraId="791EDEA7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▲侧板(加固筋侧板）：所投侧板需满足：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51FB41D4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▲门板（门面）:需满足：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1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①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耐腐蚀≥1000小时；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2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②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冲击强度（冲击高度500mm，应无剥落、裂纹、皱纹）；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3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③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硬度≥3H；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4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④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附着力 ≤1 级；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5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⑤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可迁移元素：铅＜0.5mg/kg、镉＜0.5mg/kg、汞＜0.5mg/kg、铬＜0.5mg/kg、锑＜0.5mg/kg、钡＜0.5mg/kg、砷＜0.5mg/kg、硒＜0.5mg/kg；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6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⑥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中性盐雾1000h，达到10级 ；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begin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instrText xml:space="preserve"> = 7 \* GB3 \* MERGEFORMAT </w:instrTex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separate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⑦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fldChar w:fldCharType="end"/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覆盖层厚度。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投标人或其制造商提供带有CMA的第三方检验机构出具的检验报告</w:t>
            </w:r>
          </w:p>
          <w:p w14:paraId="58E1F510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▲密封条（不锈钢镶嵌式密封条）需满足：①耐干热性；②耐磨性；③耐开裂性（耐龟裂性）≥1级；④耐老化性；⑤耐冷热循环性；⑥耐光色牢度（灰色样卡）≥4级；⑦甲醛释放量≤0.5mg/L。</w:t>
            </w:r>
          </w:p>
          <w:p w14:paraId="3CCDE205">
            <w:pPr>
              <w:pStyle w:val="8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-5" w:leftChars="0" w:right="0" w:right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63408A64">
            <w:pPr>
              <w:pStyle w:val="8"/>
              <w:keepNext w:val="0"/>
              <w:keepLines w:val="0"/>
              <w:widowControl/>
              <w:numPr>
                <w:ilvl w:val="0"/>
                <w:numId w:val="2"/>
              </w:numPr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hanging="5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塑粉采用优质环保型高附着力的金属表面纳米抗菌热固性粉末，表面涂层高温固化而成，提高其防锈蚀和抗菌性能。大肠杆菌、金黄色葡萄球菌、肺炎克雷伯氏菌抗细菌率均≥99%。</w:t>
            </w:r>
          </w:p>
        </w:tc>
      </w:tr>
      <w:tr w14:paraId="52BCE0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57C13B9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025540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档案存取车梯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2C15A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高度不小于1.3米，用于档案存取作业</w:t>
            </w:r>
          </w:p>
        </w:tc>
      </w:tr>
      <w:tr w14:paraId="14252B5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vAlign w:val="center"/>
          </w:tcPr>
          <w:p w14:paraId="0600EC4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49F15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档案库房专用灭火设备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6E2C03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国标专用二氧化碳灭火设备不少于4Kg/</w:t>
            </w:r>
            <w:r>
              <w:rPr>
                <w:rFonts w:hint="eastAsia" w:ascii="方正仿宋_GB2312" w:hAnsi="方正仿宋_GB2312" w:eastAsia="方正仿宋_GB2312" w:cs="方正仿宋_GB2312"/>
                <w:sz w:val="21"/>
                <w:szCs w:val="21"/>
                <w:lang w:val="en-US" w:eastAsia="zh-CN"/>
              </w:rPr>
              <w:t>瓶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，档案防潮、防火、零损毁</w:t>
            </w:r>
          </w:p>
        </w:tc>
      </w:tr>
      <w:tr w14:paraId="648B2AC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6ED4A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C00DE27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档案室专用温湿度计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73B3B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国标温湿度计，配合抽湿机对库房温湿度双重控制</w:t>
            </w:r>
          </w:p>
        </w:tc>
      </w:tr>
      <w:tr w14:paraId="6CA0F2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1CB4E4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9D75BB0C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档案室专用抽湿机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FD306B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一、基本参数</w:t>
            </w:r>
          </w:p>
          <w:p w14:paraId="3AABF8D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1、工作温度：5-38度</w:t>
            </w:r>
          </w:p>
          <w:p w14:paraId="14DFDEDE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2、工作电压：≧220v/50hz</w:t>
            </w:r>
          </w:p>
          <w:p w14:paraId="4BAF5FA1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二、电路保护功能：</w:t>
            </w:r>
          </w:p>
          <w:p w14:paraId="1BB832FA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default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1、符合国家标准《CQC 1308-2017》相关标准的产品。</w:t>
            </w:r>
          </w:p>
          <w:p w14:paraId="3B1C2414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2、额定电压；≥AC220V 额定电流:≥100A；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。</w:t>
            </w:r>
          </w:p>
          <w:p w14:paraId="47A69BD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3、模块可以手动或远程操作实现负载的通电与断电操作，须具合分指示装置。任何情况下，指示装置应与实际的触头状态一致。如触头熔焊或粘连，即使进行了断电操作，指示装置应指示在合闸通电状态，不能给出错误的分闸断电指示。</w:t>
            </w:r>
          </w:p>
          <w:p w14:paraId="2A4C6B7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4、分别用手动或远程控制模块的合闸信号与分闸信号，指示装置显示应正确。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  <w:p w14:paraId="7D3E5AEB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5、用外力固定载流件的动静触头（模拟触头熔焊粘连），给出分闸信号后，指示装置仍显示在合闸状态。</w:t>
            </w:r>
          </w:p>
          <w:p w14:paraId="1A67315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6、▲在分闸位置，载流部件动静触头的电气间隙应≧ 5.0mm。</w:t>
            </w:r>
            <w:r>
              <w:rPr>
                <w:rFonts w:hint="eastAsia" w:ascii="方正仿宋_GB2312" w:hAnsi="方正仿宋_GB2312" w:eastAsia="方正仿宋_GB2312" w:cs="方正仿宋_GB2312"/>
                <w:b/>
                <w:bCs/>
                <w:color w:val="000000"/>
                <w:kern w:val="0"/>
                <w:sz w:val="21"/>
                <w:szCs w:val="21"/>
                <w:lang w:val="en-US" w:eastAsia="zh-CN"/>
              </w:rPr>
              <w:t>投标人或其制造商提供带有CMA的第三方检验机构出具的抽样检验报告</w:t>
            </w:r>
          </w:p>
        </w:tc>
      </w:tr>
      <w:tr w14:paraId="5FE501E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45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CB9145D6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DCD9D34D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档案库房专用档案杀虫药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EF22FFEF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国标档案专用杀虫药，不少于2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eastAsia="zh-CN"/>
              </w:rPr>
              <w:t>克</w:t>
            </w: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/包。全面防虫、防霉变，保护档案资料</w:t>
            </w:r>
          </w:p>
        </w:tc>
      </w:tr>
      <w:tr w14:paraId="697846E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BBC32313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7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BD2B7AE3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物流搬运费用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F0BED1EB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设备运输及搬运至指定库房，含装卸、保险费</w:t>
            </w:r>
          </w:p>
        </w:tc>
      </w:tr>
      <w:tr w14:paraId="531130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0" w:hRule="atLeast"/>
        </w:trPr>
        <w:tc>
          <w:tcPr>
            <w:tcW w:w="7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B2243AB9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8</w:t>
            </w:r>
          </w:p>
        </w:tc>
        <w:tc>
          <w:tcPr>
            <w:tcW w:w="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CEB8B2C5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安装调试费用</w:t>
            </w:r>
          </w:p>
        </w:tc>
        <w:tc>
          <w:tcPr>
            <w:tcW w:w="66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FFFFFF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79E26B">
            <w:pPr>
              <w:pStyle w:val="8"/>
              <w:keepNext w:val="0"/>
              <w:keepLines w:val="0"/>
              <w:widowControl/>
              <w:suppressLineNumbers w:val="0"/>
              <w:kinsoku/>
              <w:wordWrap/>
              <w:overflowPunct/>
              <w:bidi w:val="0"/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color w:val="000000"/>
                <w:kern w:val="0"/>
                <w:sz w:val="21"/>
                <w:szCs w:val="21"/>
                <w:lang w:val="en-US" w:eastAsia="zh-CN"/>
              </w:rPr>
              <w:t>设备安装与调试，不含材料上架、归档</w:t>
            </w:r>
          </w:p>
        </w:tc>
      </w:tr>
    </w:tbl>
    <w:p w14:paraId="E5F78D4B">
      <w:pPr>
        <w:spacing w:line="360" w:lineRule="auto"/>
        <w:rPr>
          <w:rFonts w:hint="eastAsia" w:ascii="方正仿宋_GB2312" w:hAnsi="方正仿宋_GB2312" w:eastAsia="方正仿宋_GB2312" w:cs="方正仿宋_GB2312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roman"/>
    <w:pitch w:val="default"/>
    <w:sig w:usb0="A00002BF" w:usb1="38CF7CFA" w:usb2="00000016" w:usb3="00000000" w:csb0="0004000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7F" w:usb3="00000000" w:csb0="203F01FF" w:csb1="DFFF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73A01FD-03D8-4FB0-B16B-855DEC088EA6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424BF66"/>
    <w:multiLevelType w:val="singleLevel"/>
    <w:tmpl w:val="4424BF66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7D7DC998"/>
    <w:multiLevelType w:val="singleLevel"/>
    <w:tmpl w:val="7D7DC998"/>
    <w:lvl w:ilvl="0" w:tentative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341807"/>
    <w:rsid w:val="04274B96"/>
    <w:rsid w:val="0D425FAA"/>
    <w:rsid w:val="21B17E1E"/>
    <w:rsid w:val="29CB16FF"/>
    <w:rsid w:val="33653E4E"/>
    <w:rsid w:val="37436C8E"/>
    <w:rsid w:val="3A064BAC"/>
    <w:rsid w:val="4B814C16"/>
    <w:rsid w:val="51DC2BA6"/>
    <w:rsid w:val="53D34839"/>
    <w:rsid w:val="546D5D37"/>
    <w:rsid w:val="6BCF0C2E"/>
    <w:rsid w:val="BF7EBE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 w:val="0"/>
      <w:spacing w:before="120" w:after="120" w:line="420" w:lineRule="auto"/>
      <w:ind w:left="0" w:right="0"/>
      <w:jc w:val="both"/>
      <w:outlineLvl w:val="0"/>
    </w:pPr>
    <w:rPr>
      <w:rFonts w:ascii="Times New Roman" w:hAnsi="Times New Roman" w:eastAsia="宋体" w:cs="Times New Roman"/>
      <w:b/>
      <w:bCs/>
      <w:kern w:val="44"/>
      <w:sz w:val="32"/>
      <w:szCs w:val="44"/>
      <w:lang w:val="en-US" w:eastAsia="zh-CN" w:bidi="ar-SA"/>
    </w:rPr>
  </w:style>
  <w:style w:type="character" w:default="1" w:styleId="10">
    <w:name w:val="Default Paragraph Font"/>
    <w:qFormat/>
    <w:uiPriority w:val="1"/>
  </w:style>
  <w:style w:type="table" w:default="1" w:styleId="9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widowControl/>
      <w:spacing w:after="0"/>
      <w:ind w:firstLine="420"/>
      <w:jc w:val="left"/>
    </w:pPr>
    <w:rPr>
      <w:rFonts w:ascii="Times New Roman" w:hAnsi="Times New Roman" w:eastAsia="等线" w:cs="Times New Roman"/>
      <w:kern w:val="0"/>
      <w:sz w:val="24"/>
      <w:szCs w:val="20"/>
      <w:lang w:val="en-US" w:eastAsia="zh-CN" w:bidi="ar-SA"/>
    </w:rPr>
  </w:style>
  <w:style w:type="paragraph" w:styleId="4">
    <w:name w:val="annotation text"/>
    <w:basedOn w:val="1"/>
    <w:qFormat/>
    <w:uiPriority w:val="0"/>
    <w:pPr>
      <w:widowControl w:val="0"/>
      <w:spacing w:after="0"/>
      <w:jc w:val="left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5">
    <w:name w:val="Body Text"/>
    <w:basedOn w:val="1"/>
    <w:qFormat/>
    <w:uiPriority w:val="0"/>
    <w:pPr>
      <w:widowControl w:val="0"/>
      <w:spacing w:before="0" w:after="120"/>
      <w:ind w:left="0" w:right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6">
    <w:name w:val="Plain Text"/>
    <w:basedOn w:val="1"/>
    <w:next w:val="1"/>
    <w:qFormat/>
    <w:uiPriority w:val="99"/>
    <w:rPr>
      <w:rFonts w:ascii="宋体" w:hAnsi="Courier New"/>
      <w:sz w:val="21"/>
    </w:rPr>
  </w:style>
  <w:style w:type="paragraph" w:styleId="7">
    <w:name w:val="Body Text 2"/>
    <w:basedOn w:val="1"/>
    <w:qFormat/>
    <w:uiPriority w:val="0"/>
    <w:pPr>
      <w:widowControl w:val="0"/>
      <w:spacing w:after="0" w:line="360" w:lineRule="auto"/>
      <w:jc w:val="both"/>
    </w:pPr>
    <w:rPr>
      <w:rFonts w:ascii="Times New Roman" w:hAnsi="Times New Roman" w:eastAsia="宋体" w:cs="Times New Roman"/>
      <w:kern w:val="2"/>
      <w:sz w:val="24"/>
      <w:szCs w:val="24"/>
      <w:lang w:val="en-US" w:eastAsia="zh-CN" w:bidi="ar-SA"/>
    </w:rPr>
  </w:style>
  <w:style w:type="paragraph" w:styleId="8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1">
    <w:name w:val="Hyperlink"/>
    <w:basedOn w:val="10"/>
    <w:qFormat/>
    <w:uiPriority w:val="0"/>
    <w:rPr>
      <w:rFonts w:ascii="Times New Roman" w:hAnsi="Times New Roman" w:eastAsia="宋体" w:cs="Times New Roman"/>
      <w:color w:val="0563C1"/>
      <w:sz w:val="21"/>
      <w:u w:val="single"/>
    </w:rPr>
  </w:style>
  <w:style w:type="paragraph" w:customStyle="1" w:styleId="12">
    <w:name w:val="正文 A"/>
    <w:qFormat/>
    <w:uiPriority w:val="0"/>
    <w:pPr>
      <w:widowControl w:val="0"/>
      <w:pBdr>
        <w:top w:val="none" w:color="FFFFFF" w:sz="0" w:space="31"/>
        <w:left w:val="none" w:color="FFFFFF" w:sz="0" w:space="31"/>
        <w:bottom w:val="none" w:color="FFFFFF" w:sz="0" w:space="31"/>
        <w:right w:val="none" w:color="FFFFFF" w:sz="0" w:space="31"/>
      </w:pBdr>
      <w:jc w:val="both"/>
    </w:pPr>
    <w:rPr>
      <w:rFonts w:ascii="Times New Roman" w:hAnsi="Arial Unicode MS" w:eastAsia="Times New Roman" w:cs="Times New Roman"/>
      <w:color w:val="000000"/>
      <w:kern w:val="2"/>
      <w:sz w:val="21"/>
      <w:szCs w:val="21"/>
      <w:u w:color="000000"/>
      <w:lang w:val="en-US" w:eastAsia="zh-CN" w:bidi="ar-SA"/>
    </w:rPr>
  </w:style>
  <w:style w:type="paragraph" w:customStyle="1" w:styleId="13">
    <w:name w:val="正文格式"/>
    <w:basedOn w:val="14"/>
    <w:qFormat/>
    <w:uiPriority w:val="0"/>
    <w:pPr>
      <w:widowControl/>
      <w:adjustRightInd w:val="0"/>
      <w:snapToGrid w:val="0"/>
      <w:spacing w:line="400" w:lineRule="atLeast"/>
      <w:ind w:firstLine="482"/>
      <w:textAlignment w:val="baseline"/>
    </w:pPr>
    <w:rPr>
      <w:rFonts w:ascii="Times New Roman" w:hAnsi="Times New Roman"/>
      <w:kern w:val="0"/>
      <w:sz w:val="24"/>
    </w:rPr>
  </w:style>
  <w:style w:type="paragraph" w:customStyle="1" w:styleId="14">
    <w:name w:val="正文_2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2502</Words>
  <Characters>3159</Characters>
  <Paragraphs>75</Paragraphs>
  <TotalTime>2</TotalTime>
  <ScaleCrop>false</ScaleCrop>
  <LinksUpToDate>false</LinksUpToDate>
  <CharactersWithSpaces>3192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2026-10-18T19:08:00Z</dcterms:created>
  <dc:creator>V2545A</dc:creator>
  <cp:lastModifiedBy>李少杰</cp:lastModifiedBy>
  <dcterms:modified xsi:type="dcterms:W3CDTF">2026-11-01T10:09:46Z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7ed9af0d245547759d382adb959801f0_21</vt:lpwstr>
  </property>
  <property fmtid="{D5CDD505-2E9C-101B-9397-08002B2CF9AE}" pid="3" name="KSOTemplateDocerSaveRecord">
    <vt:lpwstr>eyJoZGlkIjoiMmU1NzZkYzllZWUwZDhjYTJiYzNkMDhjNjE3MzUyNDIiLCJ1c2VySWQiOiIxNTY5MDQ1Mjc3In0=</vt:lpwstr>
  </property>
  <property fmtid="{D5CDD505-2E9C-101B-9397-08002B2CF9AE}" pid="4" name="KSOProductBuildVer">
    <vt:lpwstr>2052-12.1.0.29161</vt:lpwstr>
  </property>
</Properties>
</file>