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vertAnchor="text" w:horzAnchor="page" w:tblpX="812" w:tblpY="1662"/>
        <w:tblW w:w="10206" w:type="dxa"/>
        <w:tblInd w:w="-572" w:type="dxa"/>
        <w:tblLayout w:type="fixed"/>
        <w:tblCellMar>
          <w:top w:w="0" w:type="dxa"/>
          <w:left w:w="108" w:type="dxa"/>
          <w:bottom w:w="0" w:type="dxa"/>
          <w:right w:w="108" w:type="dxa"/>
        </w:tblCellMar>
      </w:tblPr>
      <w:tblGrid>
        <w:gridCol w:w="709"/>
        <w:gridCol w:w="2425"/>
        <w:gridCol w:w="1119"/>
        <w:gridCol w:w="850"/>
        <w:gridCol w:w="1276"/>
        <w:gridCol w:w="851"/>
        <w:gridCol w:w="1275"/>
        <w:gridCol w:w="1701"/>
      </w:tblGrid>
      <w:tr w14:paraId="17F51AF6">
        <w:tblPrEx>
          <w:tblCellMar>
            <w:top w:w="0" w:type="dxa"/>
            <w:left w:w="108" w:type="dxa"/>
            <w:bottom w:w="0" w:type="dxa"/>
            <w:right w:w="108" w:type="dxa"/>
          </w:tblCellMar>
        </w:tblPrEx>
        <w:trPr>
          <w:trHeight w:val="285" w:hRule="atLeast"/>
        </w:trPr>
        <w:tc>
          <w:tcPr>
            <w:tcW w:w="709"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216BEB9E">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序号</w:t>
            </w:r>
          </w:p>
        </w:tc>
        <w:tc>
          <w:tcPr>
            <w:tcW w:w="2425"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7B28F2F8">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货物名称</w:t>
            </w:r>
          </w:p>
        </w:tc>
        <w:tc>
          <w:tcPr>
            <w:tcW w:w="1119"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A7C7997D">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数量</w:t>
            </w:r>
          </w:p>
        </w:tc>
        <w:tc>
          <w:tcPr>
            <w:tcW w:w="850"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91DA8F6F">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单位</w:t>
            </w:r>
          </w:p>
        </w:tc>
        <w:tc>
          <w:tcPr>
            <w:tcW w:w="1276"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0691E9AF">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备注</w:t>
            </w:r>
          </w:p>
        </w:tc>
        <w:tc>
          <w:tcPr>
            <w:tcW w:w="851"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AE955B2B">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所属行业</w:t>
            </w:r>
          </w:p>
        </w:tc>
        <w:tc>
          <w:tcPr>
            <w:tcW w:w="1275"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2C641F4D">
            <w:pPr>
              <w:widowControl/>
              <w:spacing w:line="420" w:lineRule="exact"/>
              <w:jc w:val="left"/>
            </w:pPr>
            <w:r>
              <w:rPr>
                <w:lang w:val="en-US"/>
              </w:rPr>
              <w:t>单价（元）</w:t>
            </w:r>
          </w:p>
        </w:tc>
        <w:tc>
          <w:tcPr>
            <w:tcW w:w="1701" w:type="dxa"/>
            <w:tcBorders>
              <w:top w:val="single" w:color="auto" w:sz="4" w:space="0"/>
              <w:left w:val="single" w:color="auto" w:sz="4" w:space="0"/>
              <w:bottom w:val="single" w:color="auto" w:sz="4" w:space="0"/>
              <w:right w:val="single" w:color="auto" w:sz="4" w:space="0"/>
            </w:tcBorders>
            <w:shd w:val="clear" w:color="FFFFFF" w:fill="BFBFBF"/>
            <w:tcMar>
              <w:top w:w="0" w:type="dxa"/>
              <w:left w:w="108" w:type="dxa"/>
              <w:bottom w:w="0" w:type="dxa"/>
              <w:right w:w="108" w:type="dxa"/>
            </w:tcMar>
            <w:vAlign w:val="center"/>
          </w:tcPr>
          <w:p w14:paraId="D06B3CC8">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总价（元）</w:t>
            </w:r>
          </w:p>
        </w:tc>
      </w:tr>
      <w:tr w14:paraId="432D8457">
        <w:tblPrEx>
          <w:tblCellMar>
            <w:top w:w="0" w:type="dxa"/>
            <w:left w:w="108" w:type="dxa"/>
            <w:bottom w:w="0" w:type="dxa"/>
            <w:right w:w="108" w:type="dxa"/>
          </w:tblCellMar>
        </w:tblPrEx>
        <w:trPr>
          <w:trHeight w:val="567" w:hRule="atLeast"/>
        </w:trPr>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5EB000F">
            <w:pPr>
              <w:widowControl/>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1</w:t>
            </w:r>
          </w:p>
        </w:tc>
        <w:tc>
          <w:tcPr>
            <w:tcW w:w="24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93C0AC09">
            <w:pPr>
              <w:widowControl/>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生涯翼站</w:t>
            </w:r>
          </w:p>
        </w:tc>
        <w:tc>
          <w:tcPr>
            <w:tcW w:w="11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C1E9927D">
            <w:pPr>
              <w:widowControl/>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1</w:t>
            </w:r>
          </w:p>
        </w:tc>
        <w:tc>
          <w:tcPr>
            <w:tcW w:w="8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4C136F">
            <w:pPr>
              <w:widowControl/>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套</w:t>
            </w:r>
          </w:p>
        </w:tc>
        <w:tc>
          <w:tcPr>
            <w:tcW w:w="12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812EA1AA">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拒绝进口</w:t>
            </w:r>
          </w:p>
        </w:tc>
        <w:tc>
          <w:tcPr>
            <w:tcW w:w="8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77ED94">
            <w:pPr>
              <w:widowControl/>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工业</w:t>
            </w:r>
          </w:p>
        </w:tc>
        <w:tc>
          <w:tcPr>
            <w:tcW w:w="12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89BE584A">
            <w:pPr>
              <w:widowControl/>
              <w:spacing w:line="420" w:lineRule="exact"/>
              <w:jc w:val="left"/>
            </w:pPr>
          </w:p>
        </w:tc>
        <w:tc>
          <w:tcPr>
            <w:tcW w:w="170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F98D07E2">
            <w:pPr>
              <w:widowControl/>
              <w:spacing w:line="420" w:lineRule="exact"/>
              <w:jc w:val="left"/>
            </w:pPr>
          </w:p>
        </w:tc>
      </w:tr>
      <w:tr w14:paraId="19D2012F">
        <w:tblPrEx>
          <w:tblCellMar>
            <w:top w:w="0" w:type="dxa"/>
            <w:left w:w="108" w:type="dxa"/>
            <w:bottom w:w="0" w:type="dxa"/>
            <w:right w:w="108" w:type="dxa"/>
          </w:tblCellMar>
        </w:tblPrEx>
        <w:trPr>
          <w:trHeight w:val="567" w:hRule="atLeast"/>
        </w:trPr>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DE2468">
            <w:pPr>
              <w:widowControl/>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2</w:t>
            </w:r>
          </w:p>
        </w:tc>
        <w:tc>
          <w:tcPr>
            <w:tcW w:w="24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18A40F2">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监控摄像机</w:t>
            </w:r>
          </w:p>
        </w:tc>
        <w:tc>
          <w:tcPr>
            <w:tcW w:w="111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FCCF4E">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1</w:t>
            </w:r>
          </w:p>
        </w:tc>
        <w:tc>
          <w:tcPr>
            <w:tcW w:w="8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E2361F">
            <w:pPr>
              <w:widowControl/>
              <w:spacing w:line="420" w:lineRule="exact"/>
              <w:jc w:val="left"/>
            </w:pPr>
            <w:r>
              <w:rPr>
                <w:rFonts w:hint="default" w:ascii="宋体" w:hAnsi="宋体" w:eastAsia="宋体" w:cs="宋体"/>
                <w:b w:val="0"/>
                <w:bCs w:val="0"/>
                <w:i w:val="0"/>
                <w:iCs w:val="0"/>
                <w:color w:val="000000"/>
                <w:kern w:val="0"/>
                <w:sz w:val="24"/>
                <w:szCs w:val="24"/>
                <w:highlight w:val="none"/>
                <w:vertAlign w:val="baseline"/>
                <w:lang w:val="en-US" w:eastAsia="zh-CN" w:bidi="ar-SA"/>
              </w:rPr>
              <w:t>套</w:t>
            </w:r>
          </w:p>
        </w:tc>
        <w:tc>
          <w:tcPr>
            <w:tcW w:w="12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E33B17">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拒绝进口</w:t>
            </w:r>
          </w:p>
        </w:tc>
        <w:tc>
          <w:tcPr>
            <w:tcW w:w="8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61CEC54">
            <w:pPr>
              <w:widowControl/>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工业</w:t>
            </w:r>
          </w:p>
        </w:tc>
        <w:tc>
          <w:tcPr>
            <w:tcW w:w="12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D4D45B6">
            <w:pPr>
              <w:widowControl/>
              <w:spacing w:line="420" w:lineRule="exact"/>
              <w:jc w:val="left"/>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4E81D528">
            <w:pPr>
              <w:widowControl/>
              <w:spacing w:line="420" w:lineRule="exact"/>
              <w:jc w:val="left"/>
            </w:pPr>
          </w:p>
        </w:tc>
      </w:tr>
    </w:tbl>
    <w:p w14:paraId="F9155170">
      <w:pPr>
        <w:rPr>
          <w:rFonts w:ascii="宋体" w:hAnsi="宋体" w:eastAsia="宋体" w:cs="华文宋体"/>
          <w:sz w:val="28"/>
          <w:szCs w:val="28"/>
          <w:lang w:val="en-US"/>
        </w:rPr>
      </w:pPr>
      <w:r>
        <w:rPr>
          <w:rFonts w:ascii="宋体" w:hAnsi="宋体" w:eastAsia="宋体" w:cs="华文宋体"/>
          <w:sz w:val="28"/>
          <w:szCs w:val="28"/>
          <w:lang w:val="en-US"/>
        </w:rPr>
        <w:t>附件:</w:t>
      </w:r>
      <w:r>
        <w:rPr>
          <w:rFonts w:hint="eastAsia" w:ascii="宋体" w:hAnsi="宋体" w:eastAsia="宋体" w:cs="华文宋体"/>
          <w:kern w:val="2"/>
          <w:sz w:val="28"/>
          <w:szCs w:val="28"/>
          <w:lang w:val="en-US" w:eastAsia="zh-CN" w:bidi="ar-SA"/>
        </w:rPr>
        <w:t>深圳外国语学校</w:t>
      </w:r>
      <w:bookmarkStart w:id="0" w:name="_GoBack"/>
      <w:bookmarkEnd w:id="0"/>
      <w:r>
        <w:rPr>
          <w:rFonts w:hint="eastAsia" w:ascii="宋体" w:hAnsi="宋体" w:eastAsia="宋体" w:cs="华文宋体"/>
          <w:kern w:val="2"/>
          <w:sz w:val="28"/>
          <w:szCs w:val="28"/>
          <w:lang w:val="en-US" w:eastAsia="zh-CN" w:bidi="ar-SA"/>
        </w:rPr>
        <w:t>高中部AI生涯规划设备购买</w:t>
      </w:r>
      <w:r>
        <w:rPr>
          <w:rFonts w:ascii="宋体" w:hAnsi="宋体" w:eastAsia="宋体" w:cs="华文宋体"/>
          <w:sz w:val="28"/>
          <w:szCs w:val="28"/>
          <w:lang w:val="en-US"/>
        </w:rPr>
        <w:t>项目清单</w:t>
      </w:r>
    </w:p>
    <w:p w14:paraId="F101BE6E">
      <w:pPr>
        <w:spacing w:line="360" w:lineRule="auto"/>
        <w:jc w:val="left"/>
        <w:rPr>
          <w:rFonts w:hint="default" w:ascii="宋体" w:hAnsi="宋体" w:eastAsia="宋体" w:cs="宋体"/>
          <w:b w:val="0"/>
          <w:bCs w:val="0"/>
          <w:i w:val="0"/>
          <w:iCs w:val="0"/>
          <w:color w:val="000000"/>
          <w:kern w:val="2"/>
          <w:sz w:val="28"/>
          <w:szCs w:val="28"/>
          <w:highlight w:val="none"/>
          <w:vertAlign w:val="baseline"/>
          <w:lang w:val="en-US" w:eastAsia="zh-CN" w:bidi="ar-SA"/>
        </w:rPr>
      </w:pPr>
      <w:r>
        <w:rPr>
          <w:rFonts w:hint="default" w:ascii="宋体" w:hAnsi="宋体" w:eastAsia="宋体" w:cs="宋体"/>
          <w:b w:val="0"/>
          <w:bCs w:val="0"/>
          <w:i w:val="0"/>
          <w:iCs w:val="0"/>
          <w:color w:val="000000"/>
          <w:kern w:val="2"/>
          <w:sz w:val="28"/>
          <w:szCs w:val="28"/>
          <w:highlight w:val="none"/>
          <w:vertAlign w:val="baseline"/>
          <w:lang w:val="en-US" w:eastAsia="zh-CN" w:bidi="ar-SA"/>
        </w:rPr>
        <w:t>一、报价单</w:t>
      </w:r>
    </w:p>
    <w:p w14:paraId="AE142769">
      <w:pPr>
        <w:spacing w:line="360" w:lineRule="auto"/>
        <w:rPr>
          <w:rFonts w:hint="default" w:ascii="宋体" w:hAnsi="宋体" w:eastAsia="宋体" w:cs="宋体"/>
          <w:b w:val="0"/>
          <w:bCs w:val="0"/>
          <w:i w:val="0"/>
          <w:iCs w:val="0"/>
          <w:color w:val="000000"/>
          <w:kern w:val="2"/>
          <w:sz w:val="28"/>
          <w:szCs w:val="28"/>
          <w:highlight w:val="none"/>
          <w:vertAlign w:val="baseline"/>
          <w:lang w:val="en-US" w:eastAsia="zh-CN" w:bidi="ar-SA"/>
        </w:rPr>
      </w:pPr>
      <w:r>
        <w:rPr>
          <w:rFonts w:hint="default" w:ascii="宋体" w:hAnsi="宋体" w:eastAsia="宋体" w:cs="宋体"/>
          <w:b w:val="0"/>
          <w:bCs w:val="0"/>
          <w:i w:val="0"/>
          <w:iCs w:val="0"/>
          <w:color w:val="000000"/>
          <w:kern w:val="2"/>
          <w:sz w:val="28"/>
          <w:szCs w:val="28"/>
          <w:highlight w:val="none"/>
          <w:vertAlign w:val="baseline"/>
          <w:lang w:val="en-US" w:eastAsia="zh-CN" w:bidi="ar-SA"/>
        </w:rPr>
        <w:t xml:space="preserve">      投标总价必须是完成该项目的一切费用总和，包括设备费、运输费、装卸费、保险费、技术培训费、设备安装费、调试费、售后服务费、国家规定的各项税费等全部费用；</w:t>
      </w:r>
    </w:p>
    <w:p w14:paraId="D4AC9963">
      <w:pPr>
        <w:spacing w:line="360" w:lineRule="auto"/>
        <w:rPr>
          <w:rFonts w:ascii="宋体" w:hAnsi="宋体" w:eastAsia="宋体" w:cs="宋体"/>
          <w:sz w:val="28"/>
          <w:szCs w:val="28"/>
          <w:lang w:val="en-US"/>
        </w:rPr>
      </w:pPr>
    </w:p>
    <w:p w14:paraId="7AD3BA6C">
      <w:pPr>
        <w:spacing w:line="360" w:lineRule="auto"/>
        <w:rPr>
          <w:rFonts w:ascii="宋体" w:hAnsi="宋体" w:eastAsia="宋体" w:cs="宋体"/>
          <w:sz w:val="28"/>
          <w:szCs w:val="28"/>
          <w:lang w:val="en-US"/>
        </w:rPr>
      </w:pPr>
      <w:r>
        <w:rPr>
          <w:rFonts w:ascii="宋体" w:hAnsi="宋体" w:eastAsia="宋体" w:cs="宋体"/>
          <w:sz w:val="28"/>
          <w:szCs w:val="28"/>
          <w:lang w:val="en-US"/>
        </w:rPr>
        <w:t>二、技术要求</w:t>
      </w:r>
    </w:p>
    <w:tbl>
      <w:tblPr>
        <w:tblStyle w:val="7"/>
        <w:tblW w:w="8465" w:type="dxa"/>
        <w:tblInd w:w="0" w:type="dxa"/>
        <w:tblLayout w:type="autofit"/>
        <w:tblCellMar>
          <w:top w:w="15" w:type="dxa"/>
          <w:left w:w="15" w:type="dxa"/>
          <w:bottom w:w="15" w:type="dxa"/>
          <w:right w:w="15" w:type="dxa"/>
        </w:tblCellMar>
      </w:tblPr>
      <w:tblGrid>
        <w:gridCol w:w="660"/>
        <w:gridCol w:w="1054"/>
        <w:gridCol w:w="5717"/>
        <w:gridCol w:w="1034"/>
      </w:tblGrid>
      <w:tr w14:paraId="6E5AB6B5">
        <w:tblPrEx>
          <w:tblCellMar>
            <w:top w:w="15" w:type="dxa"/>
            <w:left w:w="15" w:type="dxa"/>
            <w:bottom w:w="15" w:type="dxa"/>
            <w:right w:w="15"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9A90C419">
            <w:pPr>
              <w:spacing w:after="120" w:line="240" w:lineRule="auto"/>
              <w:jc w:val="left"/>
            </w:pPr>
            <w:r>
              <w:rPr>
                <w:rFonts w:hint="default" w:ascii="宋体" w:hAnsi="宋体" w:eastAsia="宋体" w:cs="Times New Roman"/>
                <w:b/>
                <w:bCs/>
                <w:i w:val="0"/>
                <w:iCs w:val="0"/>
                <w:color w:val="auto"/>
                <w:kern w:val="2"/>
                <w:sz w:val="24"/>
                <w:szCs w:val="24"/>
                <w:highlight w:val="none"/>
                <w:vertAlign w:val="baseline"/>
                <w:lang w:val="en-US" w:eastAsia="zh-CN" w:bidi="ar-SA"/>
              </w:rPr>
              <w:t>序号</w:t>
            </w:r>
          </w:p>
        </w:tc>
        <w:tc>
          <w:tcPr>
            <w:tcW w:w="112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C010220">
            <w:pPr>
              <w:spacing w:after="120" w:line="240" w:lineRule="auto"/>
              <w:jc w:val="left"/>
            </w:pPr>
            <w:r>
              <w:rPr>
                <w:rFonts w:hint="default" w:ascii="宋体" w:hAnsi="宋体" w:eastAsia="宋体" w:cs="Times New Roman"/>
                <w:b/>
                <w:bCs/>
                <w:i w:val="0"/>
                <w:iCs w:val="0"/>
                <w:color w:val="auto"/>
                <w:kern w:val="2"/>
                <w:sz w:val="24"/>
                <w:szCs w:val="24"/>
                <w:highlight w:val="none"/>
                <w:vertAlign w:val="baseline"/>
                <w:lang w:val="en-US" w:eastAsia="zh-CN" w:bidi="ar-SA"/>
              </w:rPr>
              <w:t>货品名称</w:t>
            </w:r>
          </w:p>
        </w:tc>
        <w:tc>
          <w:tcPr>
            <w:tcW w:w="596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8EF1F65">
            <w:pPr>
              <w:spacing w:after="120" w:line="240" w:lineRule="auto"/>
              <w:jc w:val="left"/>
            </w:pPr>
            <w:r>
              <w:rPr>
                <w:rFonts w:hint="default" w:ascii="宋体" w:hAnsi="宋体" w:eastAsia="宋体" w:cs="Times New Roman"/>
                <w:b/>
                <w:bCs/>
                <w:i w:val="0"/>
                <w:iCs w:val="0"/>
                <w:color w:val="auto"/>
                <w:kern w:val="2"/>
                <w:sz w:val="24"/>
                <w:szCs w:val="24"/>
                <w:highlight w:val="none"/>
                <w:vertAlign w:val="baseline"/>
                <w:lang w:val="en-US" w:eastAsia="zh-CN" w:bidi="ar-SA"/>
              </w:rPr>
              <w:t>招标参数</w:t>
            </w:r>
          </w:p>
        </w:tc>
        <w:tc>
          <w:tcPr>
            <w:tcW w:w="11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E4CDBC9B">
            <w:pPr>
              <w:spacing w:after="120" w:line="240" w:lineRule="auto"/>
              <w:jc w:val="left"/>
            </w:pPr>
            <w:r>
              <w:rPr>
                <w:rFonts w:hint="default" w:ascii="宋体" w:hAnsi="宋体" w:eastAsia="宋体" w:cs="宋体"/>
                <w:b/>
                <w:bCs/>
                <w:i w:val="0"/>
                <w:iCs w:val="0"/>
                <w:color w:val="000000"/>
                <w:kern w:val="2"/>
                <w:sz w:val="24"/>
                <w:szCs w:val="24"/>
                <w:highlight w:val="none"/>
                <w:vertAlign w:val="baseline"/>
                <w:lang w:val="en-US" w:eastAsia="zh-CN" w:bidi="ar-SA"/>
              </w:rPr>
              <w:t>其他说明</w:t>
            </w:r>
          </w:p>
        </w:tc>
      </w:tr>
      <w:tr w14:paraId="25C2D0F0">
        <w:tblPrEx>
          <w:tblCellMar>
            <w:top w:w="15" w:type="dxa"/>
            <w:left w:w="15" w:type="dxa"/>
            <w:bottom w:w="15" w:type="dxa"/>
            <w:right w:w="15" w:type="dxa"/>
          </w:tblCellMar>
        </w:tblPrEx>
        <w:trPr>
          <w:trHeight w:val="600" w:hRule="atLeast"/>
        </w:trPr>
        <w:tc>
          <w:tcPr>
            <w:tcW w:w="697" w:type="dxa"/>
            <w:vMerge w:val="restart"/>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51C884B6">
            <w:pPr>
              <w:spacing w:after="120" w:line="240" w:lineRule="auto"/>
              <w:jc w:val="left"/>
            </w:pPr>
            <w:r>
              <w:rPr>
                <w:rFonts w:hint="default" w:ascii="宋体" w:hAnsi="宋体" w:eastAsia="宋体" w:cs="Times New Roman"/>
                <w:b w:val="0"/>
                <w:bCs w:val="0"/>
                <w:i w:val="0"/>
                <w:iCs w:val="0"/>
                <w:color w:val="auto"/>
                <w:kern w:val="2"/>
                <w:sz w:val="24"/>
                <w:szCs w:val="24"/>
                <w:highlight w:val="none"/>
                <w:vertAlign w:val="baseline"/>
                <w:lang w:val="en-US" w:eastAsia="zh-CN" w:bidi="ar-SA"/>
              </w:rPr>
              <w:t>1</w:t>
            </w:r>
          </w:p>
        </w:tc>
        <w:tc>
          <w:tcPr>
            <w:tcW w:w="1128"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AAE67E64">
            <w:pPr>
              <w:spacing w:after="120" w:line="240" w:lineRule="auto"/>
              <w:jc w:val="left"/>
            </w:pPr>
            <w:r>
              <w:rPr>
                <w:rFonts w:hint="default" w:ascii="宋体" w:hAnsi="宋体" w:eastAsia="宋体" w:cs="Times New Roman"/>
                <w:b w:val="0"/>
                <w:bCs w:val="0"/>
                <w:i w:val="0"/>
                <w:iCs w:val="0"/>
                <w:color w:val="auto"/>
                <w:kern w:val="2"/>
                <w:sz w:val="24"/>
                <w:szCs w:val="24"/>
                <w:highlight w:val="none"/>
                <w:vertAlign w:val="baseline"/>
                <w:lang w:val="en-US" w:eastAsia="zh-CN" w:bidi="ar-SA"/>
              </w:rPr>
              <w:t>生涯翼站</w:t>
            </w:r>
          </w:p>
        </w:tc>
        <w:tc>
          <w:tcPr>
            <w:tcW w:w="59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E3EC297F">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一、硬件参数要求（一）静音舱1.规格尺寸规格：≥W1500mm*D950mm*H2300mm；2.整体要求采用优质框架材质，坚固耐用且稳定性强。舱体玻璃选用不低于10mm钢化玻璃，舱内隔音性能良好，能够有效隔绝外界噪音。舱内配备回风系统，保持舱内空气清新。3.整体隔音量按照 ISO 717-1:2022 的评价结果:Dp，W’=25dB或更优,隔音量（R MAX≥35dB）4.整体声学指标参照RT60检测要求，T60（500Hz-1000Hz）≤0.3s5.隔音主材模块化碳塑隔音板结构，隔音主材满足防水、零排放、抗酸、抗盐、抗腐等。6.新风具有低噪声新风系统，保持舱内空气流通。支持通过开启灯光的同时自动运行换风系统，双机正负压的上进下出系统。7.照明支持3种以上的色温调节切换模式。光源符合视觉健康标准，采用不低于4000K自然光色温LED照明。8.安装可根据用户需求不限次数，灵活调整安装、摆放位置。9.外饰具有环保外饰面（无油漆）。耐磨、抗污染、防潮、抗紫外线。10.外联线孔与与连接线缆插座具有外联线孔，用于舱内设备与舱外设备连接、信息传输。外联线孔不使用时封闭，不漏声。支持根据用户需要定制外联线孔，包括但不限于大小、位置。电源接地： 1) 计算机接地部分不得与防雷接地共用接地体。计算机专用电源电阻不大于2欧姆。2) 其他接地需包含交流工作地、安全保护地、防雷接地体，电阻应小于4 欧姆。3) 接入方式：支持电信、联通或移动等运营商宽带接入，接口为以太网RJ45，且能够支持Wifi接入。11.内置空调1）制冷功率：≥280w2）制冷量：≥750w3）制热功率：≥280w4）制热量：≥850w5）室内机噪音：≤38dB6）内机重量：≤13kg</w:t>
            </w:r>
          </w:p>
        </w:tc>
        <w:tc>
          <w:tcPr>
            <w:tcW w:w="110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tcPr>
          <w:p w14:paraId="E95DBE40">
            <w:pPr>
              <w:spacing w:after="120" w:line="240" w:lineRule="auto"/>
              <w:jc w:val="left"/>
            </w:pPr>
          </w:p>
        </w:tc>
      </w:tr>
      <w:tr w14:paraId="0F85AD69">
        <w:tblPrEx>
          <w:tblCellMar>
            <w:top w:w="15" w:type="dxa"/>
            <w:left w:w="15" w:type="dxa"/>
            <w:bottom w:w="15" w:type="dxa"/>
            <w:right w:w="15" w:type="dxa"/>
          </w:tblCellMar>
        </w:tblPrEx>
        <w:trPr>
          <w:trHeight w:val="600" w:hRule="atLeast"/>
        </w:trPr>
        <w:tc>
          <w:tcPr>
            <w:tcW w:w="697" w:type="dxa"/>
            <w:vMerge w:val="continue"/>
            <w:tcBorders>
              <w:top w:val="single" w:color="auto" w:sz="4" w:space="0"/>
              <w:left w:val="single" w:color="auto" w:sz="4" w:space="0"/>
              <w:bottom w:val="single" w:color="auto" w:sz="4" w:space="0"/>
              <w:right w:val="single" w:color="auto" w:sz="4" w:space="0"/>
            </w:tcBorders>
            <w:shd w:val="clear" w:color="FFFFFF" w:fill="FFFFFF"/>
            <w:vAlign w:val="center"/>
          </w:tcPr>
          <w:p w14:paraId="02E13307">
            <w:pPr>
              <w:spacing w:after="120" w:line="240" w:lineRule="auto"/>
              <w:jc w:val="left"/>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14:paraId="65DC0CBC">
            <w:pPr>
              <w:spacing w:after="120" w:line="240" w:lineRule="auto"/>
              <w:jc w:val="left"/>
            </w:pPr>
          </w:p>
        </w:tc>
        <w:tc>
          <w:tcPr>
            <w:tcW w:w="59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342C15AF">
            <w:pPr>
              <w:spacing w:line="420" w:lineRule="exact"/>
              <w:jc w:val="left"/>
            </w:pPr>
            <w:r>
              <w:rPr>
                <w:rFonts w:hint="default" w:ascii="宋体" w:hAnsi="宋体" w:eastAsia="宋体" w:cs="宋体"/>
                <w:b w:val="0"/>
                <w:bCs w:val="0"/>
                <w:i w:val="0"/>
                <w:iCs w:val="0"/>
                <w:color w:val="auto"/>
                <w:kern w:val="2"/>
                <w:sz w:val="24"/>
                <w:szCs w:val="24"/>
                <w:highlight w:val="none"/>
                <w:vertAlign w:val="baseline"/>
                <w:lang w:val="en-US" w:eastAsia="zh-CN" w:bidi="ar-SA"/>
              </w:rPr>
              <w:t>12.环保要求▲整体安装后室内空气符合国家相关标准。（需提供具备CMA或CNAS等权威标识的检测报告）</w:t>
            </w:r>
          </w:p>
        </w:tc>
        <w:tc>
          <w:tcPr>
            <w:tcW w:w="110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tcPr>
          <w:p w14:paraId="A2197440">
            <w:pPr>
              <w:spacing w:after="120" w:line="240" w:lineRule="auto"/>
              <w:jc w:val="left"/>
            </w:pPr>
          </w:p>
        </w:tc>
      </w:tr>
      <w:tr w14:paraId="621831D8">
        <w:tblPrEx>
          <w:tblCellMar>
            <w:top w:w="15" w:type="dxa"/>
            <w:left w:w="15" w:type="dxa"/>
            <w:bottom w:w="15" w:type="dxa"/>
            <w:right w:w="15" w:type="dxa"/>
          </w:tblCellMar>
        </w:tblPrEx>
        <w:trPr>
          <w:trHeight w:val="600" w:hRule="atLeast"/>
        </w:trPr>
        <w:tc>
          <w:tcPr>
            <w:tcW w:w="697" w:type="dxa"/>
            <w:vMerge w:val="continue"/>
            <w:tcBorders>
              <w:top w:val="single" w:color="auto" w:sz="4" w:space="0"/>
              <w:left w:val="single" w:color="auto" w:sz="4" w:space="0"/>
              <w:bottom w:val="single" w:color="auto" w:sz="4" w:space="0"/>
              <w:right w:val="single" w:color="auto" w:sz="4" w:space="0"/>
            </w:tcBorders>
            <w:shd w:val="clear" w:color="FFFFFF" w:fill="FFFFFF"/>
            <w:vAlign w:val="center"/>
          </w:tcPr>
          <w:p w14:paraId="6B4949A7">
            <w:pPr>
              <w:spacing w:after="120" w:line="240" w:lineRule="auto"/>
              <w:jc w:val="left"/>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14:paraId="1A6EAF88">
            <w:pPr>
              <w:spacing w:after="120" w:line="240" w:lineRule="auto"/>
              <w:jc w:val="left"/>
            </w:pPr>
          </w:p>
        </w:tc>
        <w:tc>
          <w:tcPr>
            <w:tcW w:w="59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5B6E2C03">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（二）触控一体化设备</w:t>
            </w:r>
          </w:p>
          <w:p w14:paraId="1E21C980">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1.显示屏：≥27寸，分辨率：≥1920*10802.CPU：Cortex-A76+Cortex-A55 八核64 位 2.4GHz 或同等规格。3.存储：内存≥8G， 存储≥128G 4.多媒体：支持H.265/H.264/AV1/VP9/AVS2 视频解码，最高8K60FPS   支持 H.264/H.265 视频编码， 最高8K30FPS 5.显示：支持HDMI 显示输出、HDMI 输入、DP1.4输出 6.外围接口至少包含：1）1 个DC电源 输入接口；2）1 路耳机接口；3）2 个 USB3.0，2 个Type-C4）1 个HDMI2.1 输出，最高支持4K@60HZ 输出；5）1 个HDMI2.0 输入，最高支持4K@60HZ 输入；6）1个RJ45/IN 接口。二、软件功能要求软件为集生涯和心理功能为一体的学生发展指导软件，通过人工智能技术，打造基于大模型的生涯心理AI互动系统。1.用户需登录账号使用，生涯探索与规划信息储存在个人账号中；2.用户账号信息与生涯探索数据与web端平台互通；3.提供web端后台教务管理账号；4.持续不定期更新迭代；（一）AI生涯规划▲2.基于人工智能技术，提供多元升学途径的生涯规划师指导，针对高考升学途径，结合历年院校、专业的招生录取信息，为学生提供院校及专业选择建议；针对留学升学途径提供海外院校、专业、申请途径等信息。（须提供软件平台真实功能界面截图）</w:t>
            </w:r>
          </w:p>
          <w:p w14:paraId="1542B06F">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▲2.对于学生提问有关院校、专业录取信息，AI可用文本、表格等多形式呈现，语音同步播报，并随时可暂停AI的语音播报。（须提供软件平台真实功能界面截图）</w:t>
            </w:r>
          </w:p>
          <w:p w14:paraId="B55E292B">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3.支持结合学生的生涯测评等个人数据，结合测评结果为学生推荐适合专业，用户提供个性化的生涯规划建议。4.能够与学生实时进行语音对话，支持通过语音、文字形式开始对话，即时给予反馈。5.针对高考升学路径可至少提供但不限于自我探索、学职探索、选科决策、志愿填报、行动建议等多维度的对话引导；针对留学升学途径可至少提供但不限于国际各类课程体系介绍、当地生活和文化了解、签证及法律问题、录取成功率等多维度的对话引导，从而分析用户兴趣、优势和个性化需求，推荐适合的职业方向和发展路径，为用户提供全方位的生涯规划指导。6.学生与AI生涯规划师互动记录除了在AI互动终端可以查看，还可以在PC端查看，另可通过关键词、时间条件快速找到。（二）自我探索1.支持对学生的兴趣、性格、多元智能在线测评。答题过程中支持查看答题卡，跳转至已完成作答的题目。2.能够在线查看测评结果，包括兴趣类型、性格类型、优势智能及与学生个人特征相符的代表人物。3.完成测评后，支持逐步解锁查看学生的个人兴趣特征、性格优势与劣势等个人特质结果分析，支持查看学生的未来专业方向推荐和职业领域推荐结果，生成学生的生涯关键词云图。4.能够AI生成学生专属的个人评价引导语和生涯导师寄语，针对学生的个人特质给予个性化评价。5.测评报告结果保存在学生个人账号中，结果数据与web系统互通，支持学生登录web端系统平台查看更加专业详细的个人测评报告。(三)AI模拟面试1.支持与AI模拟面试官进行综合评价招生、春季高考面试模拟，面试内容包含学生自我认知、专业素养、问题分析能力、未来规划方向、价值观导向等多方面内容，支持多次模拟练习。2.模拟面试完成后，能够自动生成面试报告。报告将从面试回答的逻辑性表现、个人未来规划的清晰度、专业知识储备情况、学科素养水平等维度，对面试结果进行分析，并给出改进建议3.能够提供与综合评价招生相关的报考指导资料及微视频内容。内容包含综合评价招生政策要求、流程安排及备考要点。（四）学职探索1.学职探索功能需至少包含：校园风采、职业库、专业库、中国大学库、中国大学排名、学业职业群模块。助力学生形成清晰的学职路径认知。2.校园风采：支持对国内顶尖高校进行校园风采展示，通过高品质的校园图片轮播，激发学生探索兴趣与向往感。3.职业库：支持查询全国涵盖12个大类700余种常见与新兴职业信息，帮助学生更好地了解职业内容、职业职责等信息，需包括职业定义、职责、职业前景、职业资格及能力、职业规划及职场案例等。4.专业库：需支持查询全国1000多个本科专业、专科专业，支持高效查询与个性化探索，通过专业介绍、开设院校、专业特质，提升学生专业认知深度，促进科学选科、择校、择业决策。5.中国大学库：需支持查询全国3000多所本科、高职（专科）院校，支持多维度查询与自主搜索，通过院校概况、院校录取、专业录取、招生计划和招生章程等信息助力学生全面了解高校特征，科学规划升学路径。6.中国大学排名：支持查看全国大学排名、“双一流”名单、QS 世界大学排名、全国学科评估、世界大学学术榜，帮助学生多角度了解高校办学实力与学科优势。7.学业职业群：</w:t>
            </w:r>
          </w:p>
          <w:p w14:paraId="AE416A1E">
            <w:pPr>
              <w:widowControl/>
              <w:spacing w:line="240" w:lineRule="auto"/>
              <w:jc w:val="both"/>
            </w:pP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1）通过专业的分类体系，将大学专业依照其专业特质、关联职业等，进行再分类，组成七大学业职业群，每类学业职业群都有对应高中科目、重点培养能力、适宜职业形态，详细介绍每个分类的相关学科、职业情境、视频讲座等内容。（须提供软件平台真实功能界面截图）通过将学生特质、学科、专业和职业相关联，帮助学生更好地了解职业内容、职业职责等信息，帮助中学生进行专业定位及选科决策。</w:t>
            </w:r>
          </w:p>
          <w:p w14:paraId="EC580328">
            <w:pPr>
              <w:spacing w:line="420" w:lineRule="exact"/>
              <w:jc w:val="both"/>
            </w:pP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2）支持以图谱的形式查看专业之间的层级关系和关联性，能够通过专业职业群进一步查看关联的学科门类、一级学科及具体专业。（须提供软件平台真实功能界面截图）</w:t>
            </w:r>
          </w:p>
          <w:p w14:paraId="0695F140">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3）支持查看各个专业的全国高校毕业生规模、性别比例、满意度等统计数据。</w:t>
            </w:r>
          </w:p>
          <w:p w14:paraId="B231569B">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4）支持查看专业的开设院校及院校排名情况，能够查看各个院校本专业的录取分数线。</w:t>
            </w:r>
          </w:p>
          <w:p w14:paraId="5A1E538D">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5）支持查看专业的基本信息、专业简介、主要课程、选科要求、相近专业、就业走向等数据。</w:t>
            </w:r>
          </w:p>
          <w:p w14:paraId="1EE625E4">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6）提供不少于100个由高校各专业学长学姐亲身讲述的专业介绍视频，帮助学生了解大学专业。</w:t>
            </w:r>
          </w:p>
          <w:p w14:paraId="CFAB9EFF">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7）支持查看每个专业所适合的兴趣、性格、能力特质，帮助学生结合个人特质，更好地找到适合自己的专业、职业和努力方向。（五）海外院校1.可提供全球范围内至少270所院校的详细介绍、强势专业、录取要求、申请攻略、留学费用供学生了解参考。 （六）生涯工具箱1.可提供生涯规划工具，帮助学生理解人的生涯发展阶段、了解高中生涯规划的基本过程，学习使用生涯工具辅助决策。2.可提供兴趣、性格、能力等方面的测评基本概念介绍与解读，帮助学生结合自身测评报告结果进行深入学习。（七）AI心理对话1.支持AI心理对话，角色/音色/称呼都可自定义：学生可以根据个人喜好自由组合角色、音色和称呼，至少支持9种角色选择，18种音色选择，提供不同的语音风格。</w:t>
            </w: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2.支持与学生自创的AI心理伙伴在线连线进行语音沟通。基于人工智能技术，理解用户情感需求并给予回应，为用户提供共情、引导、建议为逻辑线的情感支持和心理辅导。（须提供软件平台真实功能界面截图）3.支持AI心理对话个性化开场，可根据学生以往的互动内容，提炼其情感需求和关注点的开场。</w:t>
            </w: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4.支持对话中随时暂停、继续，对话过程中随时角色头像模式、字幕模式任意切换，看到本次对话的文字记录。5.通过分析学生与AI的对话内容、语音语调、情绪表达等信息，能够勾勒出一个独特的、动态更新的心理画像。画像可展现学生的心理状态，揭示隐藏的情绪压力来源、性格倾向。（须提供软件平台真实功能界面截图）</w:t>
            </w: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6.AI心理对话能根据学生对话内容生成心理画像，包括整体呈现、关键词云、不少于7大维度的AI解读（至少包含学业压力、个人形象、人际关系、家庭关系、考试焦虑、自信心、其他维度等），AI能够为学生提供个性化的建议，心理画像除了在AI互动终端可以查看，还可以在PC端查看（须提供软件平台真实功能界面截图）7.学生与AI心理伙伴每产生不低于3组对话，AI心理对话能根据学生的对话内容进行实时分析生成画像，新增互动对话内容后会同步更新画像内容。（八）心理咨询预约1.提供心理咨询预约功能，学生能够在平台上预约校内心理老师，进行专业的心理咨询，为用户解决学习与生活中遇到的问题。2.可支持学生预约至少5大类心理问题，包括但不限于情绪问题、行为问题、学业问题、人际交往、个人发展等方向。3.支持查看学生个人的历史预约记录。（九）漂流瓶1.学生可将自己的心愿、目标和疑问以漂流瓶的形式匿名发布，与老师和同学分享和交流，漂流瓶可能被校内其他用户捡到并回复。2.支持对漂流瓶进行AI回复功能，无需人工输入回复，提高了回应速度和效率。3.支持对漂流瓶进行发布、查看、回复等操作，共同探讨生涯规划问题，获取更多有益的建议和支持。4.支持对自己感兴趣的漂流瓶内容进行点赞，内容转发，具备互动性和共情气氛交流。（十）反馈建议1.可为学生提供一个便捷渠道，随时分享产品功能、体验或服务的想法建议，可为后续产品迭代提供依据。（十一）管理后台1.AI生涯规划管理后台1）支持教务老师查看所有学生的AI生涯规划互动记录，可通过年级、班级、关键词、互动时间等条件查询2）对学生互动内容，能统计出生涯规划关键词云、高频问题榜。并能够针对互动内容分为自我认知及探索类、学业规划类、职业行业类、咨询工具类、生活闲聊及其他等至少六种类型。2.心理咨询预约管理后台1）支持查看全校学生心理咨询预约的心理健康辅导记录，可根据校区、年级、班级、姓名及辅导时间等查询条件进行查询。2）支持站内消息通知及邮件通知功能，支持在学生预约心理咨询或产生“特别关注”的学生，实时向心理老师推送提醒。3.漂流瓶管理后台1）支持对校内学生的漂流瓶互动情况进行统计与管理，对于需要关注的内容支持溯源，支持按照关键词、发布时间对漂流瓶内容进行检索查询。2）支持通过AI自动识别，将学生发布的漂流瓶内容至少归类为8大主题：包括但不限于情感与社交、生活闲聊、游戏与娱乐、心情分享、学业与成绩、校园生活、疑问求解、不当言论、其他等，并可以提供每个主题的统计数据。3）支持已发布漂流瓶的总数据和本月数据统计，支持对漂流瓶进行隐藏操作，且用户无感，已隐藏的漂流瓶不可再被收到及回复。4.AI心理对话管理后台1）系统需支持对校内学生心理状态分析及数据统计，可对校内学生与AI互动终端进行沟通的情况进行实时分析，自动生成心理关键词并给出至少四级预警等级，帮助学校提早发现、及时干预；至少可统计出四种程度比例，受学业压力、考试焦虑、个人形象、家庭关系、人际关系、自信心等不少于6个因子维度影响比例及学生常问事件前十名。2）对系统提示重点关注的学生，心理老师可查看该生的详细互动内容，可支持修改预警等级。</w:t>
            </w:r>
            <w:r>
              <w:rPr>
                <w:rFonts w:hint="default" w:ascii="宋体" w:hAnsi="宋体" w:eastAsia="宋体" w:cs="宋体"/>
                <w:b w:val="0"/>
                <w:bCs w:val="0"/>
                <w:i w:val="0"/>
                <w:iCs w:val="0"/>
                <w:color w:val="000000"/>
                <w:kern w:val="0"/>
                <w:sz w:val="28"/>
                <w:szCs w:val="28"/>
                <w:highlight w:val="none"/>
                <w:vertAlign w:val="baseline"/>
                <w:lang w:val="en-US" w:eastAsia="zh-CN" w:bidi="ar-SA"/>
              </w:rPr>
              <w:t>▲</w:t>
            </w:r>
            <w:r>
              <w:rPr>
                <w:rFonts w:hint="default" w:ascii="宋体" w:hAnsi="宋体" w:eastAsia="宋体" w:cs="宋体"/>
                <w:b w:val="0"/>
                <w:bCs w:val="0"/>
                <w:i w:val="0"/>
                <w:iCs w:val="0"/>
                <w:color w:val="000000"/>
                <w:kern w:val="2"/>
                <w:sz w:val="24"/>
                <w:szCs w:val="24"/>
                <w:highlight w:val="none"/>
                <w:vertAlign w:val="baseline"/>
                <w:lang w:val="en-US" w:eastAsia="zh-CN" w:bidi="ar-SA"/>
              </w:rPr>
              <w:t>3）支持后台查看所有互动学生的心理画像，可从学生姓名、年级、班级、预警等级程度等维度进行查询，查询内容包括但不限于心理关键词、互动时间、历史详情及AI画像等。（须提供软件平台真实功能界面截图）5.AI模拟面试管理后台1）支持总使用人数、总使用次数及本月使用次数等关键指标的可视化展示，便于快速了解学生平台使用情况。2）支持按学校、班级、互动时间区间、学生姓名、面试院校/专业等多维度筛选，快速定位目标学生的面试数据。3）支持在线预览并下载学生的 AI 面试报告，报告包括评分结果、整体分析和面试建议等内容，支持导出为 PDF 。</w:t>
            </w:r>
          </w:p>
        </w:tc>
        <w:tc>
          <w:tcPr>
            <w:tcW w:w="110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tcPr>
          <w:p w14:paraId="EEA9E494">
            <w:pPr>
              <w:spacing w:after="120" w:line="240" w:lineRule="auto"/>
              <w:jc w:val="left"/>
            </w:pPr>
          </w:p>
        </w:tc>
      </w:tr>
      <w:tr w14:paraId="05300037">
        <w:tblPrEx>
          <w:tblCellMar>
            <w:top w:w="15" w:type="dxa"/>
            <w:left w:w="15" w:type="dxa"/>
            <w:bottom w:w="15" w:type="dxa"/>
            <w:right w:w="15" w:type="dxa"/>
          </w:tblCellMar>
        </w:tblPrEx>
        <w:trPr>
          <w:trHeight w:val="600" w:hRule="atLeast"/>
        </w:trPr>
        <w:tc>
          <w:tcPr>
            <w:tcW w:w="697"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6F6ED4AD">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2</w:t>
            </w:r>
          </w:p>
        </w:tc>
        <w:tc>
          <w:tcPr>
            <w:tcW w:w="112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C00DE274">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监控</w:t>
            </w:r>
          </w:p>
        </w:tc>
        <w:tc>
          <w:tcPr>
            <w:tcW w:w="59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vAlign w:val="center"/>
          </w:tcPr>
          <w:p w14:paraId="0673B3BA">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1.▲内置1.5TOPS算力的芯片，支持烟火检测、值岗状态检测（离岗、睡岗、玩手机）、危险行为检测（抽烟、打电话）、电梯危险物品检测（电瓶车、煤气罐）、呼救识别、周界入侵检测（移动侦测、区域入侵、越界侦测）、遮挡检测同时启用，各类智能事件可以正常检测和报警(提供第三方检验机构出具的首页具有CMA和CNAS标识的检验报告扫描件证明【需提供第三方检测机构出具的带有CMA标识的检测报告作为证明材料，证明材料需体现满足上述参数要求。上述检验检测报告需同步提交在全国认证认可信息公共服务平台（认e云）（http://cx.cnca.cn/）的信息查询记录截图，因该平台升级等原因导致检验检测报告无法查询的则需提供通过检测机构官网、邮箱等可靠途径查询所提交检测报告具体内容的真实性的证明材料或者检测机构盖章的证明材料，证明该报告真实有效。】</w:t>
            </w:r>
          </w:p>
          <w:p w14:paraId="61B77894">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2.▲设备应具备高温报警功能，支持设定0℃~120℃高温报警阈值，1~600s温度报警时间阈值，当环境温度超过设定高温报警阈值和时间阈值时，触发设备高温报警，视频画面叠加高温报警信息，同时录像及上传抓拍图片，报警指示灯自动点亮(提供第三方检验机构出具的首页具有CMA和CNAS标识的检验报告扫描件证明【需提供第三方检测机构出具的带有CMA标识的检测报告作为证明材料，证明材料需体现满足上述参数要求。上述检验检测报告需同步提交在全国认证认可信息公共服务平台（认e云）（http://cx.cnca.cn/）的信息查询记录截图，因该平台升级等原因导致检验检测报告无法查询的则需提供通过检测机构官网、邮箱等可靠途径查询所提交检测报告具体内容的真实性的证明材料或者检测机构盖章的证明材料，证明该报告真实有效。】</w:t>
            </w:r>
          </w:p>
          <w:p w14:paraId="F51D144C">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3.▲设备应具备温度突升、突降的差温报警功能，支持设定1℃~120℃温度突升或突降的差温报警阈值，1~30s温度突升或者突降报警时间阈值，当环境温度满足设定高温报警阈值和时间阈值时，触发设备温度突升或突降差温报警，视频画面叠加温度突升/突降报警信息，同时录像及上传抓拍图片，报警指示灯自动点亮(提供第三方检验机构出具的首页具有CMA和CNAS标识的检验报告扫描件证明【需提供第三方检测机构出具的带有CMA标识的检测报告作为证明材料，证明材料需体现满足上述参数要求。上述检验检测报告需同步提交在全国认证认可信息公共服务平台（认e云）（http://cx.cnca.cn/）的信息查询记录截图，因该平台升级等原因导致检验检测报告无法查询的则需提供通过检测机构官网、邮箱等可靠途径查询所提交检测报告具体内容的真实性的证明材料或者检测机构盖章的证明材料，证明该报告真实有效。】</w:t>
            </w:r>
          </w:p>
          <w:p w14:paraId="EBDA5883">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4.▲将设备固定在恒定温箱（40℃~55℃）并稳定运行1h，查看设备实时感温数据，误差不超过±2℃；可在10s内探测到距离设备50m处面积为0.1㎡的火盘中燃烧的火焰并报警(提供第三方检验机构出具的首页具有CMA和CNAS标识的检验报告扫描件证明【需提供第三方检测机构出具的带有CMA标识的检测报告作为证明材料，证明材料需体现满足上述参数要求。上述检验检测报告需同步提交在全国认证认可信息公共服务平台（认e云）（http://cx.cnca.cn/）的信息查询记录截图，因该平台升级等原因导致检验检测报告无法查询的则需提供通过检测机构官网、邮箱等可靠途径查询所提交检测报告具体内容的真实性的证明材料或者检测机构盖章的证明材料，证明该报告真实有效。】</w:t>
            </w:r>
          </w:p>
          <w:p w14:paraId="075316AF">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5.分辨率：≥2688 × 1520；温度异常检测：支持高温/差温报警</w:t>
            </w:r>
          </w:p>
          <w:p w14:paraId="D37002CE">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6.可在IE浏览器上设置4个检测区域、4个屏蔽区域，支持最大检出尺寸、最小检出尺寸配置，支持单独开启电瓶车检测、煤气罐检测，触发报警时间：1~4s可配置、5级灵敏度调节，布防时间可配置，当设定的侦测区域内有电瓶车、煤气罐出现时，该区域内边框将变为红色，并可联动报警、启动录像、报警上传中心和SD卡、声音播报，报警指示灯自动点亮</w:t>
            </w:r>
          </w:p>
          <w:p w14:paraId="D0A2A529">
            <w:pPr>
              <w:spacing w:line="420" w:lineRule="exact"/>
              <w:jc w:val="both"/>
            </w:pPr>
            <w:r>
              <w:rPr>
                <w:rFonts w:hint="default" w:ascii="宋体" w:hAnsi="宋体" w:eastAsia="宋体" w:cs="宋体"/>
                <w:b w:val="0"/>
                <w:bCs w:val="0"/>
                <w:i w:val="0"/>
                <w:iCs w:val="0"/>
                <w:color w:val="000000"/>
                <w:kern w:val="2"/>
                <w:sz w:val="24"/>
                <w:szCs w:val="24"/>
                <w:highlight w:val="none"/>
                <w:vertAlign w:val="baseline"/>
                <w:lang w:val="en-US" w:eastAsia="zh-CN" w:bidi="ar-SA"/>
              </w:rPr>
              <w:t>7.▲设备可通过DC12V反向为烟感探测器供电，烟感探测器检测到烟雾、温度异常时，设备可通过报警输入接收烟感报警信息，触发输入报警、同时录像及上传抓拍图片，报警指示灯自动点亮；支持配置各个报警指示灯状态，包括开、关、闪烁以及闪烁频率(提供第三方检验机构出具的首页具有CMA和CNAS标识的检验报告扫描件证明【需提供第三方检测机构出具的带有CMA标识的检测报告作为证明材料，证明材料需体现满足上述参数要求。上述检验检测报告需同步提交在全国认证认可信息公共服务平台（认e云）（http://cx.cnca.cn/）的信息查询记录截图，因该平台升级等原因导致检验检测报告无法查询的则需提供通过检测机构官网、邮箱等可靠途径查询所提交检测报告具体内容的真实性的证明材料或者检测机构盖章的证明材料，证明该报告真实有效。】</w:t>
            </w:r>
          </w:p>
          <w:p w14:paraId="838B405E">
            <w:pPr>
              <w:spacing w:line="420" w:lineRule="exact"/>
              <w:jc w:val="left"/>
            </w:pPr>
            <w:r>
              <w:rPr>
                <w:rFonts w:hint="default" w:ascii="宋体" w:hAnsi="宋体" w:eastAsia="宋体" w:cs="宋体"/>
                <w:b w:val="0"/>
                <w:bCs w:val="0"/>
                <w:i w:val="0"/>
                <w:iCs w:val="0"/>
                <w:color w:val="000000"/>
                <w:kern w:val="2"/>
                <w:sz w:val="24"/>
                <w:szCs w:val="24"/>
                <w:highlight w:val="none"/>
                <w:vertAlign w:val="baseline"/>
                <w:lang w:val="en-US" w:eastAsia="zh-CN" w:bidi="ar-SA"/>
              </w:rPr>
              <w:t>8.内置≥1个感温传感器；内置≥1个扬声器、≥1个麦克风、≥1个音频输入接口、≥1个音频输出接口、≥2个报警输入接口、≥2个报警输出接口、≥1个DC12V电源输出接口、≥2颗补光灯、≥3个状态指示灯</w:t>
            </w:r>
          </w:p>
        </w:tc>
        <w:tc>
          <w:tcPr>
            <w:tcW w:w="110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bottom w:w="15" w:type="dxa"/>
              <w:right w:w="15" w:type="dxa"/>
            </w:tcMar>
          </w:tcPr>
          <w:p w14:paraId="13F1B060">
            <w:pPr>
              <w:spacing w:after="120" w:line="240" w:lineRule="auto"/>
              <w:jc w:val="left"/>
            </w:pPr>
          </w:p>
        </w:tc>
      </w:tr>
    </w:tbl>
    <w:p w14:paraId="E5F78D4B">
      <w:pPr>
        <w:spacing w:line="360" w:lineRule="auto"/>
        <w:rPr>
          <w:rFonts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roman"/>
    <w:pitch w:val="default"/>
    <w:sig w:usb0="A00002BF" w:usb1="38CF7CFA" w:usb2="00000016" w:usb3="00000000" w:csb0="0004000F" w:csb1="00000000"/>
  </w:font>
  <w:font w:name="华文宋体">
    <w:panose1 w:val="02010600040101010101"/>
    <w:charset w:val="86"/>
    <w:family w:val="roman"/>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B04EA5"/>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120" w:after="120" w:line="420" w:lineRule="auto"/>
      <w:ind w:left="0" w:right="0"/>
      <w:jc w:val="both"/>
      <w:outlineLvl w:val="0"/>
    </w:pPr>
    <w:rPr>
      <w:rFonts w:ascii="Times New Roman" w:hAnsi="Times New Roman" w:eastAsia="宋体" w:cs="Times New Roman"/>
      <w:b/>
      <w:bCs/>
      <w:kern w:val="44"/>
      <w:sz w:val="32"/>
      <w:szCs w:val="44"/>
      <w:lang w:val="en-US" w:eastAsia="zh-CN" w:bidi="ar-SA"/>
    </w:rPr>
  </w:style>
  <w:style w:type="character" w:default="1" w:styleId="8">
    <w:name w:val="Default Paragraph Font"/>
    <w:qFormat/>
    <w:uiPriority w:val="1"/>
  </w:style>
  <w:style w:type="table" w:default="1" w:styleId="7">
    <w:name w:val="Normal Table"/>
    <w:uiPriority w:val="99"/>
    <w:tblPr>
      <w:tblCellMar>
        <w:top w:w="0" w:type="dxa"/>
        <w:left w:w="108" w:type="dxa"/>
        <w:bottom w:w="0" w:type="dxa"/>
        <w:right w:w="108" w:type="dxa"/>
      </w:tblCellMar>
    </w:tblPr>
  </w:style>
  <w:style w:type="paragraph" w:styleId="3">
    <w:name w:val="Normal Indent"/>
    <w:basedOn w:val="1"/>
    <w:qFormat/>
    <w:uiPriority w:val="0"/>
    <w:pPr>
      <w:widowControl/>
      <w:spacing w:after="0"/>
      <w:ind w:firstLine="420"/>
      <w:jc w:val="left"/>
    </w:pPr>
    <w:rPr>
      <w:rFonts w:ascii="Times New Roman" w:hAnsi="Times New Roman" w:eastAsia="等线" w:cs="Times New Roman"/>
      <w:kern w:val="0"/>
      <w:sz w:val="24"/>
      <w:szCs w:val="20"/>
      <w:lang w:val="en-US" w:eastAsia="zh-CN" w:bidi="ar-SA"/>
    </w:rPr>
  </w:style>
  <w:style w:type="paragraph" w:styleId="4">
    <w:name w:val="annotation text"/>
    <w:basedOn w:val="1"/>
    <w:qFormat/>
    <w:uiPriority w:val="0"/>
    <w:pPr>
      <w:widowControl w:val="0"/>
      <w:spacing w:after="0"/>
      <w:jc w:val="left"/>
    </w:pPr>
    <w:rPr>
      <w:rFonts w:ascii="Times New Roman" w:hAnsi="Times New Roman" w:eastAsia="宋体" w:cs="Times New Roman"/>
      <w:kern w:val="2"/>
      <w:sz w:val="21"/>
      <w:szCs w:val="20"/>
      <w:lang w:val="en-US" w:eastAsia="zh-CN" w:bidi="ar-SA"/>
    </w:rPr>
  </w:style>
  <w:style w:type="paragraph" w:styleId="5">
    <w:name w:val="Body Text"/>
    <w:basedOn w:val="1"/>
    <w:qFormat/>
    <w:uiPriority w:val="0"/>
    <w:pPr>
      <w:widowControl w:val="0"/>
      <w:spacing w:before="0" w:after="120"/>
      <w:ind w:left="0" w:right="0"/>
      <w:jc w:val="both"/>
    </w:pPr>
    <w:rPr>
      <w:rFonts w:ascii="Times New Roman" w:hAnsi="Times New Roman" w:eastAsia="宋体" w:cs="Times New Roman"/>
      <w:kern w:val="2"/>
      <w:sz w:val="21"/>
      <w:szCs w:val="24"/>
      <w:lang w:val="en-US" w:eastAsia="zh-CN" w:bidi="ar-SA"/>
    </w:rPr>
  </w:style>
  <w:style w:type="paragraph" w:styleId="6">
    <w:name w:val="Body Text 2"/>
    <w:basedOn w:val="1"/>
    <w:qFormat/>
    <w:uiPriority w:val="0"/>
    <w:pPr>
      <w:widowControl w:val="0"/>
      <w:spacing w:after="0" w:line="360" w:lineRule="auto"/>
      <w:jc w:val="both"/>
    </w:pPr>
    <w:rPr>
      <w:rFonts w:ascii="Times New Roman" w:hAnsi="Times New Roman" w:eastAsia="宋体" w:cs="Times New Roman"/>
      <w:kern w:val="2"/>
      <w:sz w:val="24"/>
      <w:szCs w:val="24"/>
      <w:lang w:val="en-US" w:eastAsia="zh-CN" w:bidi="ar-SA"/>
    </w:rPr>
  </w:style>
  <w:style w:type="character" w:styleId="9">
    <w:name w:val="Hyperlink"/>
    <w:basedOn w:val="8"/>
    <w:qFormat/>
    <w:uiPriority w:val="0"/>
    <w:rPr>
      <w:rFonts w:ascii="Times New Roman" w:hAnsi="Times New Roman" w:eastAsia="宋体" w:cs="Times New Roman"/>
      <w:color w:val="0563C1"/>
      <w:sz w:val="21"/>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7024</Words>
  <Characters>7581</Characters>
  <Paragraphs>75</Paragraphs>
  <TotalTime>0</TotalTime>
  <ScaleCrop>false</ScaleCrop>
  <LinksUpToDate>false</LinksUpToDate>
  <CharactersWithSpaces>7634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2026-10-18T11:08:00Z</dcterms:created>
  <dc:creator>V2545A</dc:creator>
  <cp:lastModifiedBy>李少杰</cp:lastModifiedBy>
  <dcterms:modified xsi:type="dcterms:W3CDTF">2026-10-30T08:34:50Z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7ed9af0d245547759d382adb959801f0_21</vt:lpwstr>
  </property>
  <property fmtid="{D5CDD505-2E9C-101B-9397-08002B2CF9AE}" pid="3" name="KSOTemplateDocerSaveRecord">
    <vt:lpwstr>eyJoZGlkIjoiMmU1NzZkYzllZWUwZDhjYTJiYzNkMDhjNjE3MzUyNDIiLCJ1c2VySWQiOiIxNTY5MDQ1Mjc3In0=</vt:lpwstr>
  </property>
  <property fmtid="{D5CDD505-2E9C-101B-9397-08002B2CF9AE}" pid="4" name="KSOProductBuildVer">
    <vt:lpwstr>2052-12.1.0.29161</vt:lpwstr>
  </property>
</Properties>
</file>