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9674B2">
      <w:pPr>
        <w:jc w:val="center"/>
        <w:rPr>
          <w:rFonts w:hint="eastAsia" w:ascii="宋体" w:hAnsi="宋体" w:cs="宋体"/>
          <w:b/>
          <w:bCs/>
          <w:sz w:val="28"/>
          <w:szCs w:val="28"/>
        </w:rPr>
      </w:pPr>
      <w:r>
        <w:rPr>
          <w:rFonts w:hint="eastAsia"/>
          <w:b/>
          <w:bCs/>
          <w:sz w:val="28"/>
          <w:szCs w:val="32"/>
        </w:rPr>
        <w:t>深圳外国语学校</w:t>
      </w:r>
      <w:r>
        <w:rPr>
          <w:rFonts w:hint="eastAsia"/>
          <w:b/>
          <w:bCs/>
          <w:sz w:val="28"/>
          <w:szCs w:val="32"/>
          <w:lang w:val="en-US" w:eastAsia="zh-CN"/>
        </w:rPr>
        <w:t xml:space="preserve"> 集团</w:t>
      </w:r>
      <w:r>
        <w:rPr>
          <w:rFonts w:hint="eastAsia"/>
          <w:b/>
          <w:bCs/>
          <w:sz w:val="28"/>
          <w:szCs w:val="32"/>
        </w:rPr>
        <w:t>2026各运动队器材</w:t>
      </w:r>
      <w:r>
        <w:rPr>
          <w:rFonts w:hint="eastAsia" w:ascii="宋体" w:hAnsi="宋体" w:cs="宋体"/>
          <w:b/>
          <w:bCs/>
          <w:sz w:val="28"/>
          <w:szCs w:val="28"/>
        </w:rPr>
        <w:t>货物清单</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6"/>
        <w:gridCol w:w="3224"/>
        <w:gridCol w:w="991"/>
        <w:gridCol w:w="1015"/>
        <w:gridCol w:w="1780"/>
      </w:tblGrid>
      <w:tr w14:paraId="44ACA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jc w:val="center"/>
        </w:trPr>
        <w:tc>
          <w:tcPr>
            <w:tcW w:w="1286" w:type="dxa"/>
          </w:tcPr>
          <w:p w14:paraId="11A5469E">
            <w:pPr>
              <w:spacing w:line="600" w:lineRule="auto"/>
              <w:jc w:val="center"/>
              <w:rPr>
                <w:rFonts w:hint="eastAsia" w:ascii="宋体" w:hAnsi="宋体" w:eastAsia="宋体" w:cs="宋体"/>
                <w:sz w:val="28"/>
                <w:szCs w:val="28"/>
              </w:rPr>
            </w:pPr>
            <w:r>
              <w:rPr>
                <w:rFonts w:hint="eastAsia" w:ascii="宋体" w:hAnsi="宋体" w:eastAsia="宋体" w:cs="宋体"/>
                <w:sz w:val="28"/>
                <w:szCs w:val="28"/>
              </w:rPr>
              <w:t>序号</w:t>
            </w:r>
          </w:p>
        </w:tc>
        <w:tc>
          <w:tcPr>
            <w:tcW w:w="3224" w:type="dxa"/>
          </w:tcPr>
          <w:p w14:paraId="0C92C357">
            <w:pPr>
              <w:spacing w:line="600" w:lineRule="auto"/>
              <w:jc w:val="center"/>
              <w:rPr>
                <w:rFonts w:hint="eastAsia" w:ascii="宋体" w:hAnsi="宋体" w:eastAsia="宋体" w:cs="宋体"/>
                <w:sz w:val="28"/>
                <w:szCs w:val="28"/>
              </w:rPr>
            </w:pPr>
            <w:r>
              <w:rPr>
                <w:rFonts w:hint="eastAsia" w:ascii="宋体" w:hAnsi="宋体" w:eastAsia="宋体" w:cs="宋体"/>
                <w:sz w:val="28"/>
                <w:szCs w:val="28"/>
              </w:rPr>
              <w:t>货物名称</w:t>
            </w:r>
          </w:p>
        </w:tc>
        <w:tc>
          <w:tcPr>
            <w:tcW w:w="991" w:type="dxa"/>
          </w:tcPr>
          <w:p w14:paraId="755C8CF6">
            <w:pPr>
              <w:spacing w:line="600" w:lineRule="auto"/>
              <w:jc w:val="center"/>
              <w:rPr>
                <w:rFonts w:hint="eastAsia" w:ascii="宋体" w:hAnsi="宋体" w:eastAsia="宋体" w:cs="宋体"/>
                <w:sz w:val="28"/>
                <w:szCs w:val="28"/>
              </w:rPr>
            </w:pPr>
            <w:r>
              <w:rPr>
                <w:rFonts w:hint="eastAsia" w:ascii="宋体" w:hAnsi="宋体" w:eastAsia="宋体" w:cs="宋体"/>
                <w:sz w:val="28"/>
                <w:szCs w:val="28"/>
              </w:rPr>
              <w:t>数量</w:t>
            </w:r>
          </w:p>
        </w:tc>
        <w:tc>
          <w:tcPr>
            <w:tcW w:w="1015" w:type="dxa"/>
          </w:tcPr>
          <w:p w14:paraId="7A98A795">
            <w:pPr>
              <w:spacing w:line="600" w:lineRule="auto"/>
              <w:jc w:val="center"/>
              <w:rPr>
                <w:rFonts w:hint="eastAsia" w:ascii="宋体" w:hAnsi="宋体" w:eastAsia="宋体" w:cs="宋体"/>
                <w:sz w:val="28"/>
                <w:szCs w:val="28"/>
              </w:rPr>
            </w:pPr>
            <w:r>
              <w:rPr>
                <w:rFonts w:hint="eastAsia" w:ascii="宋体" w:hAnsi="宋体" w:eastAsia="宋体" w:cs="宋体"/>
                <w:sz w:val="28"/>
                <w:szCs w:val="28"/>
              </w:rPr>
              <w:t>单位</w:t>
            </w:r>
          </w:p>
        </w:tc>
        <w:tc>
          <w:tcPr>
            <w:tcW w:w="1780" w:type="dxa"/>
          </w:tcPr>
          <w:p w14:paraId="4D6206D3">
            <w:pPr>
              <w:spacing w:line="600" w:lineRule="auto"/>
              <w:jc w:val="center"/>
              <w:rPr>
                <w:rFonts w:hint="eastAsia" w:ascii="宋体" w:hAnsi="宋体" w:eastAsia="宋体" w:cs="宋体"/>
                <w:sz w:val="28"/>
                <w:szCs w:val="28"/>
              </w:rPr>
            </w:pPr>
            <w:r>
              <w:rPr>
                <w:rFonts w:hint="eastAsia" w:ascii="宋体" w:hAnsi="宋体" w:eastAsia="宋体" w:cs="宋体"/>
                <w:sz w:val="28"/>
                <w:szCs w:val="28"/>
              </w:rPr>
              <w:t>备注</w:t>
            </w:r>
          </w:p>
        </w:tc>
      </w:tr>
      <w:tr w14:paraId="0579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jc w:val="center"/>
        </w:trPr>
        <w:tc>
          <w:tcPr>
            <w:tcW w:w="1286" w:type="dxa"/>
          </w:tcPr>
          <w:p w14:paraId="2E37048D">
            <w:pPr>
              <w:pStyle w:val="9"/>
              <w:numPr>
                <w:ilvl w:val="0"/>
                <w:numId w:val="0"/>
              </w:numPr>
              <w:spacing w:line="600" w:lineRule="auto"/>
              <w:ind w:leftChars="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w:t>
            </w:r>
          </w:p>
        </w:tc>
        <w:tc>
          <w:tcPr>
            <w:tcW w:w="3224" w:type="dxa"/>
            <w:vAlign w:val="center"/>
          </w:tcPr>
          <w:p w14:paraId="0FB65E6E">
            <w:pPr>
              <w:keepNext w:val="0"/>
              <w:keepLines w:val="0"/>
              <w:widowControl/>
              <w:suppressLineNumbers w:val="0"/>
              <w:spacing w:line="600" w:lineRule="auto"/>
              <w:jc w:val="center"/>
              <w:textAlignment w:val="center"/>
              <w:rPr>
                <w:rFonts w:hint="eastAsia" w:ascii="宋体" w:hAnsi="宋体" w:eastAsia="宋体" w:cs="宋体"/>
                <w:sz w:val="28"/>
                <w:szCs w:val="28"/>
              </w:rPr>
            </w:pPr>
            <w:r>
              <w:rPr>
                <w:rFonts w:hint="eastAsia" w:ascii="宋体" w:hAnsi="宋体" w:eastAsia="宋体" w:cs="宋体"/>
                <w:sz w:val="28"/>
                <w:szCs w:val="28"/>
              </w:rPr>
              <w:t>杠铃杆</w:t>
            </w:r>
          </w:p>
        </w:tc>
        <w:tc>
          <w:tcPr>
            <w:tcW w:w="991" w:type="dxa"/>
            <w:vAlign w:val="center"/>
          </w:tcPr>
          <w:p w14:paraId="62516731">
            <w:pPr>
              <w:keepNext w:val="0"/>
              <w:keepLines w:val="0"/>
              <w:widowControl/>
              <w:suppressLineNumbers w:val="0"/>
              <w:spacing w:line="600" w:lineRule="auto"/>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4</w:t>
            </w:r>
          </w:p>
        </w:tc>
        <w:tc>
          <w:tcPr>
            <w:tcW w:w="1015" w:type="dxa"/>
            <w:vAlign w:val="center"/>
          </w:tcPr>
          <w:p w14:paraId="67F0BCB5">
            <w:pPr>
              <w:keepNext w:val="0"/>
              <w:keepLines w:val="0"/>
              <w:widowControl/>
              <w:suppressLineNumbers w:val="0"/>
              <w:spacing w:line="600" w:lineRule="auto"/>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根</w:t>
            </w:r>
          </w:p>
        </w:tc>
        <w:tc>
          <w:tcPr>
            <w:tcW w:w="1780" w:type="dxa"/>
          </w:tcPr>
          <w:p w14:paraId="198459E7">
            <w:pPr>
              <w:spacing w:line="600" w:lineRule="auto"/>
              <w:jc w:val="center"/>
              <w:rPr>
                <w:rFonts w:hint="eastAsia" w:ascii="宋体" w:hAnsi="宋体" w:eastAsia="宋体" w:cs="宋体"/>
                <w:sz w:val="28"/>
                <w:szCs w:val="28"/>
              </w:rPr>
            </w:pPr>
          </w:p>
        </w:tc>
      </w:tr>
      <w:tr w14:paraId="5CDEB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jc w:val="center"/>
        </w:trPr>
        <w:tc>
          <w:tcPr>
            <w:tcW w:w="1286" w:type="dxa"/>
          </w:tcPr>
          <w:p w14:paraId="27028197">
            <w:pPr>
              <w:pStyle w:val="9"/>
              <w:numPr>
                <w:ilvl w:val="0"/>
                <w:numId w:val="0"/>
              </w:numPr>
              <w:spacing w:line="600" w:lineRule="auto"/>
              <w:ind w:leftChars="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w:t>
            </w:r>
          </w:p>
        </w:tc>
        <w:tc>
          <w:tcPr>
            <w:tcW w:w="3224" w:type="dxa"/>
            <w:vAlign w:val="center"/>
          </w:tcPr>
          <w:p w14:paraId="26323E85">
            <w:pPr>
              <w:keepNext w:val="0"/>
              <w:keepLines w:val="0"/>
              <w:widowControl/>
              <w:suppressLineNumbers w:val="0"/>
              <w:spacing w:line="600" w:lineRule="auto"/>
              <w:jc w:val="center"/>
              <w:textAlignment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史密斯综合训练器</w:t>
            </w:r>
          </w:p>
        </w:tc>
        <w:tc>
          <w:tcPr>
            <w:tcW w:w="991" w:type="dxa"/>
            <w:vAlign w:val="center"/>
          </w:tcPr>
          <w:p w14:paraId="709544C9">
            <w:pPr>
              <w:keepNext w:val="0"/>
              <w:keepLines w:val="0"/>
              <w:widowControl/>
              <w:suppressLineNumbers w:val="0"/>
              <w:spacing w:line="600" w:lineRule="auto"/>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w:t>
            </w:r>
          </w:p>
        </w:tc>
        <w:tc>
          <w:tcPr>
            <w:tcW w:w="1015" w:type="dxa"/>
            <w:vAlign w:val="center"/>
          </w:tcPr>
          <w:p w14:paraId="297CD65F">
            <w:pPr>
              <w:keepNext w:val="0"/>
              <w:keepLines w:val="0"/>
              <w:widowControl/>
              <w:suppressLineNumbers w:val="0"/>
              <w:spacing w:line="600" w:lineRule="auto"/>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台</w:t>
            </w:r>
          </w:p>
        </w:tc>
        <w:tc>
          <w:tcPr>
            <w:tcW w:w="1780" w:type="dxa"/>
          </w:tcPr>
          <w:p w14:paraId="3538BE06">
            <w:pPr>
              <w:spacing w:line="600" w:lineRule="auto"/>
              <w:jc w:val="center"/>
              <w:rPr>
                <w:rFonts w:hint="eastAsia" w:ascii="宋体" w:hAnsi="宋体" w:eastAsia="宋体" w:cs="宋体"/>
                <w:sz w:val="28"/>
                <w:szCs w:val="28"/>
              </w:rPr>
            </w:pPr>
          </w:p>
        </w:tc>
      </w:tr>
      <w:tr w14:paraId="77E2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jc w:val="center"/>
        </w:trPr>
        <w:tc>
          <w:tcPr>
            <w:tcW w:w="1286" w:type="dxa"/>
          </w:tcPr>
          <w:p w14:paraId="6768761E">
            <w:pPr>
              <w:pStyle w:val="9"/>
              <w:numPr>
                <w:ilvl w:val="0"/>
                <w:numId w:val="0"/>
              </w:numPr>
              <w:spacing w:line="600" w:lineRule="auto"/>
              <w:ind w:leftChars="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w:t>
            </w:r>
          </w:p>
        </w:tc>
        <w:tc>
          <w:tcPr>
            <w:tcW w:w="3224" w:type="dxa"/>
            <w:vAlign w:val="center"/>
          </w:tcPr>
          <w:p w14:paraId="2D8854EF">
            <w:pPr>
              <w:keepNext w:val="0"/>
              <w:keepLines w:val="0"/>
              <w:widowControl/>
              <w:suppressLineNumbers w:val="0"/>
              <w:spacing w:line="600" w:lineRule="auto"/>
              <w:jc w:val="center"/>
              <w:textAlignment w:val="center"/>
              <w:rPr>
                <w:rFonts w:hint="eastAsia" w:ascii="宋体" w:hAnsi="宋体" w:eastAsia="宋体" w:cs="宋体"/>
                <w:sz w:val="28"/>
                <w:szCs w:val="28"/>
              </w:rPr>
            </w:pPr>
            <w:r>
              <w:rPr>
                <w:rFonts w:hint="eastAsia" w:ascii="宋体" w:hAnsi="宋体" w:eastAsia="宋体" w:cs="宋体"/>
                <w:sz w:val="28"/>
                <w:szCs w:val="28"/>
              </w:rPr>
              <w:t>无动力跑步机</w:t>
            </w:r>
          </w:p>
        </w:tc>
        <w:tc>
          <w:tcPr>
            <w:tcW w:w="991" w:type="dxa"/>
            <w:vAlign w:val="center"/>
          </w:tcPr>
          <w:p w14:paraId="622F2E36">
            <w:pPr>
              <w:keepNext w:val="0"/>
              <w:keepLines w:val="0"/>
              <w:widowControl/>
              <w:suppressLineNumbers w:val="0"/>
              <w:spacing w:line="600" w:lineRule="auto"/>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2</w:t>
            </w:r>
          </w:p>
        </w:tc>
        <w:tc>
          <w:tcPr>
            <w:tcW w:w="1015" w:type="dxa"/>
            <w:vAlign w:val="center"/>
          </w:tcPr>
          <w:p w14:paraId="470CC235">
            <w:pPr>
              <w:keepNext w:val="0"/>
              <w:keepLines w:val="0"/>
              <w:widowControl/>
              <w:suppressLineNumbers w:val="0"/>
              <w:spacing w:line="600" w:lineRule="auto"/>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台</w:t>
            </w:r>
          </w:p>
        </w:tc>
        <w:tc>
          <w:tcPr>
            <w:tcW w:w="1780" w:type="dxa"/>
          </w:tcPr>
          <w:p w14:paraId="4F833701">
            <w:pPr>
              <w:spacing w:line="600" w:lineRule="auto"/>
              <w:jc w:val="center"/>
              <w:rPr>
                <w:rFonts w:hint="eastAsia" w:ascii="宋体" w:hAnsi="宋体" w:eastAsia="宋体" w:cs="宋体"/>
                <w:sz w:val="28"/>
                <w:szCs w:val="28"/>
              </w:rPr>
            </w:pPr>
          </w:p>
        </w:tc>
      </w:tr>
      <w:tr w14:paraId="2D27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jc w:val="center"/>
        </w:trPr>
        <w:tc>
          <w:tcPr>
            <w:tcW w:w="1286" w:type="dxa"/>
          </w:tcPr>
          <w:p w14:paraId="371AC146">
            <w:pPr>
              <w:pStyle w:val="9"/>
              <w:numPr>
                <w:ilvl w:val="0"/>
                <w:numId w:val="0"/>
              </w:numPr>
              <w:spacing w:line="600" w:lineRule="auto"/>
              <w:ind w:leftChars="0"/>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w:t>
            </w:r>
          </w:p>
        </w:tc>
        <w:tc>
          <w:tcPr>
            <w:tcW w:w="3224" w:type="dxa"/>
            <w:vAlign w:val="center"/>
          </w:tcPr>
          <w:p w14:paraId="18756F07">
            <w:pPr>
              <w:keepNext w:val="0"/>
              <w:keepLines w:val="0"/>
              <w:widowControl/>
              <w:suppressLineNumbers w:val="0"/>
              <w:spacing w:line="600" w:lineRule="auto"/>
              <w:jc w:val="center"/>
              <w:textAlignment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直插式排球柱（套装）</w:t>
            </w:r>
          </w:p>
        </w:tc>
        <w:tc>
          <w:tcPr>
            <w:tcW w:w="991" w:type="dxa"/>
            <w:vAlign w:val="center"/>
          </w:tcPr>
          <w:p w14:paraId="6C3115CA">
            <w:pPr>
              <w:keepNext w:val="0"/>
              <w:keepLines w:val="0"/>
              <w:widowControl/>
              <w:suppressLineNumbers w:val="0"/>
              <w:spacing w:line="600" w:lineRule="auto"/>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2</w:t>
            </w:r>
          </w:p>
        </w:tc>
        <w:tc>
          <w:tcPr>
            <w:tcW w:w="1015" w:type="dxa"/>
            <w:vAlign w:val="center"/>
          </w:tcPr>
          <w:p w14:paraId="321DD3B4">
            <w:pPr>
              <w:keepNext w:val="0"/>
              <w:keepLines w:val="0"/>
              <w:widowControl/>
              <w:suppressLineNumbers w:val="0"/>
              <w:spacing w:line="600" w:lineRule="auto"/>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套</w:t>
            </w:r>
          </w:p>
        </w:tc>
        <w:tc>
          <w:tcPr>
            <w:tcW w:w="1780" w:type="dxa"/>
          </w:tcPr>
          <w:p w14:paraId="3D4F7AD4">
            <w:pPr>
              <w:spacing w:line="600" w:lineRule="auto"/>
              <w:jc w:val="center"/>
              <w:rPr>
                <w:rFonts w:hint="eastAsia" w:ascii="宋体" w:hAnsi="宋体" w:eastAsia="宋体" w:cs="宋体"/>
                <w:sz w:val="28"/>
                <w:szCs w:val="28"/>
              </w:rPr>
            </w:pPr>
          </w:p>
        </w:tc>
      </w:tr>
      <w:tr w14:paraId="15EAC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jc w:val="center"/>
        </w:trPr>
        <w:tc>
          <w:tcPr>
            <w:tcW w:w="1286" w:type="dxa"/>
            <w:shd w:val="clear" w:color="auto" w:fill="auto"/>
            <w:vAlign w:val="top"/>
          </w:tcPr>
          <w:p w14:paraId="0C5F4156">
            <w:pPr>
              <w:pStyle w:val="9"/>
              <w:numPr>
                <w:ilvl w:val="0"/>
                <w:numId w:val="0"/>
              </w:numPr>
              <w:spacing w:line="600" w:lineRule="auto"/>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eastAsia="宋体" w:cs="宋体"/>
                <w:sz w:val="28"/>
                <w:szCs w:val="28"/>
                <w:lang w:val="en-US" w:eastAsia="zh-CN"/>
              </w:rPr>
              <w:t>5</w:t>
            </w:r>
          </w:p>
        </w:tc>
        <w:tc>
          <w:tcPr>
            <w:tcW w:w="3224" w:type="dxa"/>
            <w:vAlign w:val="center"/>
          </w:tcPr>
          <w:p w14:paraId="3DD6C162">
            <w:pPr>
              <w:keepNext w:val="0"/>
              <w:keepLines w:val="0"/>
              <w:widowControl/>
              <w:suppressLineNumbers w:val="0"/>
              <w:spacing w:line="600" w:lineRule="auto"/>
              <w:jc w:val="center"/>
              <w:textAlignment w:val="center"/>
              <w:rPr>
                <w:rFonts w:hint="eastAsia" w:ascii="宋体" w:hAnsi="宋体" w:eastAsia="宋体" w:cs="宋体"/>
                <w:sz w:val="28"/>
                <w:szCs w:val="28"/>
                <w:lang w:val="en-US" w:eastAsia="zh-CN"/>
              </w:rPr>
            </w:pPr>
            <w:r>
              <w:rPr>
                <w:rFonts w:hint="eastAsia" w:ascii="宋体" w:hAnsi="宋体" w:eastAsia="宋体" w:cs="宋体"/>
                <w:sz w:val="28"/>
                <w:szCs w:val="28"/>
              </w:rPr>
              <w:t>数据心率背心</w:t>
            </w:r>
          </w:p>
        </w:tc>
        <w:tc>
          <w:tcPr>
            <w:tcW w:w="991" w:type="dxa"/>
            <w:vAlign w:val="center"/>
          </w:tcPr>
          <w:p w14:paraId="7A4EFEA7">
            <w:pPr>
              <w:keepNext w:val="0"/>
              <w:keepLines w:val="0"/>
              <w:widowControl/>
              <w:suppressLineNumbers w:val="0"/>
              <w:spacing w:line="600" w:lineRule="auto"/>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12</w:t>
            </w:r>
          </w:p>
        </w:tc>
        <w:tc>
          <w:tcPr>
            <w:tcW w:w="1015" w:type="dxa"/>
            <w:vAlign w:val="center"/>
          </w:tcPr>
          <w:p w14:paraId="21C87FF4">
            <w:pPr>
              <w:keepNext w:val="0"/>
              <w:keepLines w:val="0"/>
              <w:widowControl/>
              <w:suppressLineNumbers w:val="0"/>
              <w:spacing w:line="600" w:lineRule="auto"/>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件</w:t>
            </w:r>
          </w:p>
        </w:tc>
        <w:tc>
          <w:tcPr>
            <w:tcW w:w="1780" w:type="dxa"/>
          </w:tcPr>
          <w:p w14:paraId="2FFD35B4">
            <w:pPr>
              <w:spacing w:line="600" w:lineRule="auto"/>
              <w:jc w:val="center"/>
              <w:rPr>
                <w:rFonts w:hint="eastAsia" w:ascii="宋体" w:hAnsi="宋体" w:eastAsia="宋体" w:cs="宋体"/>
                <w:sz w:val="28"/>
                <w:szCs w:val="28"/>
              </w:rPr>
            </w:pPr>
          </w:p>
        </w:tc>
      </w:tr>
      <w:tr w14:paraId="512A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jc w:val="center"/>
        </w:trPr>
        <w:tc>
          <w:tcPr>
            <w:tcW w:w="1286" w:type="dxa"/>
            <w:shd w:val="clear" w:color="auto" w:fill="auto"/>
            <w:vAlign w:val="top"/>
          </w:tcPr>
          <w:p w14:paraId="71B16352">
            <w:pPr>
              <w:pStyle w:val="9"/>
              <w:numPr>
                <w:ilvl w:val="0"/>
                <w:numId w:val="0"/>
              </w:numPr>
              <w:spacing w:line="600" w:lineRule="auto"/>
              <w:ind w:left="0" w:leftChars="0"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sz w:val="28"/>
                <w:szCs w:val="28"/>
                <w:lang w:val="en-US" w:eastAsia="zh-CN"/>
              </w:rPr>
              <w:t>6</w:t>
            </w:r>
          </w:p>
        </w:tc>
        <w:tc>
          <w:tcPr>
            <w:tcW w:w="3224" w:type="dxa"/>
            <w:vAlign w:val="center"/>
          </w:tcPr>
          <w:p w14:paraId="3D3C3860">
            <w:pPr>
              <w:keepNext w:val="0"/>
              <w:keepLines w:val="0"/>
              <w:widowControl/>
              <w:suppressLineNumbers w:val="0"/>
              <w:spacing w:line="600" w:lineRule="auto"/>
              <w:jc w:val="center"/>
              <w:textAlignment w:val="center"/>
              <w:rPr>
                <w:rFonts w:hint="eastAsia" w:ascii="宋体" w:hAnsi="宋体" w:eastAsia="宋体" w:cs="宋体"/>
                <w:sz w:val="28"/>
                <w:szCs w:val="28"/>
              </w:rPr>
            </w:pPr>
            <w:r>
              <w:rPr>
                <w:rFonts w:hint="eastAsia" w:ascii="宋体" w:hAnsi="宋体" w:eastAsia="宋体" w:cs="宋体"/>
                <w:sz w:val="28"/>
                <w:szCs w:val="28"/>
              </w:rPr>
              <w:t>追踪器</w:t>
            </w:r>
          </w:p>
        </w:tc>
        <w:tc>
          <w:tcPr>
            <w:tcW w:w="991" w:type="dxa"/>
            <w:vAlign w:val="center"/>
          </w:tcPr>
          <w:p w14:paraId="4A4B90D1">
            <w:pPr>
              <w:keepNext w:val="0"/>
              <w:keepLines w:val="0"/>
              <w:widowControl/>
              <w:suppressLineNumbers w:val="0"/>
              <w:spacing w:line="600" w:lineRule="auto"/>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12</w:t>
            </w:r>
          </w:p>
        </w:tc>
        <w:tc>
          <w:tcPr>
            <w:tcW w:w="1015" w:type="dxa"/>
            <w:vAlign w:val="center"/>
          </w:tcPr>
          <w:p w14:paraId="4FFF88E0">
            <w:pPr>
              <w:keepNext w:val="0"/>
              <w:keepLines w:val="0"/>
              <w:widowControl/>
              <w:suppressLineNumbers w:val="0"/>
              <w:spacing w:line="600" w:lineRule="auto"/>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台</w:t>
            </w:r>
          </w:p>
        </w:tc>
        <w:tc>
          <w:tcPr>
            <w:tcW w:w="1780" w:type="dxa"/>
          </w:tcPr>
          <w:p w14:paraId="1932E93F">
            <w:pPr>
              <w:spacing w:line="600" w:lineRule="auto"/>
              <w:jc w:val="center"/>
              <w:rPr>
                <w:rFonts w:hint="eastAsia" w:ascii="宋体" w:hAnsi="宋体" w:eastAsia="宋体" w:cs="宋体"/>
                <w:sz w:val="28"/>
                <w:szCs w:val="28"/>
              </w:rPr>
            </w:pPr>
          </w:p>
        </w:tc>
      </w:tr>
      <w:tr w14:paraId="2DABF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jc w:val="center"/>
        </w:trPr>
        <w:tc>
          <w:tcPr>
            <w:tcW w:w="1286" w:type="dxa"/>
            <w:shd w:val="clear" w:color="auto" w:fill="auto"/>
            <w:vAlign w:val="top"/>
          </w:tcPr>
          <w:p w14:paraId="729299E9">
            <w:pPr>
              <w:pStyle w:val="9"/>
              <w:numPr>
                <w:ilvl w:val="0"/>
                <w:numId w:val="0"/>
              </w:numPr>
              <w:spacing w:line="600" w:lineRule="auto"/>
              <w:ind w:left="0" w:leftChars="0"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sz w:val="28"/>
                <w:szCs w:val="28"/>
                <w:lang w:val="en-US" w:eastAsia="zh-CN"/>
              </w:rPr>
              <w:t>7</w:t>
            </w:r>
          </w:p>
        </w:tc>
        <w:tc>
          <w:tcPr>
            <w:tcW w:w="3224" w:type="dxa"/>
            <w:vAlign w:val="center"/>
          </w:tcPr>
          <w:p w14:paraId="7D276F49">
            <w:pPr>
              <w:keepNext w:val="0"/>
              <w:keepLines w:val="0"/>
              <w:widowControl/>
              <w:suppressLineNumbers w:val="0"/>
              <w:spacing w:line="600" w:lineRule="auto"/>
              <w:jc w:val="center"/>
              <w:textAlignment w:val="center"/>
              <w:rPr>
                <w:rFonts w:hint="eastAsia" w:ascii="宋体" w:hAnsi="宋体" w:eastAsia="宋体" w:cs="宋体"/>
                <w:sz w:val="28"/>
                <w:szCs w:val="28"/>
              </w:rPr>
            </w:pPr>
            <w:r>
              <w:rPr>
                <w:rFonts w:hint="eastAsia" w:ascii="宋体" w:hAnsi="宋体" w:eastAsia="宋体" w:cs="宋体"/>
                <w:sz w:val="28"/>
                <w:szCs w:val="28"/>
              </w:rPr>
              <w:t>艺术体操垫</w:t>
            </w:r>
          </w:p>
        </w:tc>
        <w:tc>
          <w:tcPr>
            <w:tcW w:w="991" w:type="dxa"/>
            <w:vAlign w:val="center"/>
          </w:tcPr>
          <w:p w14:paraId="6CE5363B">
            <w:pPr>
              <w:keepNext w:val="0"/>
              <w:keepLines w:val="0"/>
              <w:widowControl/>
              <w:suppressLineNumbers w:val="0"/>
              <w:spacing w:line="600" w:lineRule="auto"/>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390</w:t>
            </w:r>
          </w:p>
        </w:tc>
        <w:tc>
          <w:tcPr>
            <w:tcW w:w="1015" w:type="dxa"/>
            <w:vAlign w:val="center"/>
          </w:tcPr>
          <w:p w14:paraId="305E793C">
            <w:pPr>
              <w:keepNext w:val="0"/>
              <w:keepLines w:val="0"/>
              <w:widowControl/>
              <w:suppressLineNumbers w:val="0"/>
              <w:spacing w:line="600" w:lineRule="auto"/>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w:t>
            </w:r>
          </w:p>
        </w:tc>
        <w:tc>
          <w:tcPr>
            <w:tcW w:w="1780" w:type="dxa"/>
          </w:tcPr>
          <w:p w14:paraId="335DB9C1">
            <w:pPr>
              <w:spacing w:line="600" w:lineRule="auto"/>
              <w:jc w:val="center"/>
              <w:rPr>
                <w:rFonts w:hint="eastAsia" w:ascii="宋体" w:hAnsi="宋体" w:eastAsia="宋体" w:cs="宋体"/>
                <w:sz w:val="28"/>
                <w:szCs w:val="28"/>
              </w:rPr>
            </w:pPr>
          </w:p>
        </w:tc>
      </w:tr>
      <w:tr w14:paraId="1CB97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jc w:val="center"/>
        </w:trPr>
        <w:tc>
          <w:tcPr>
            <w:tcW w:w="1286" w:type="dxa"/>
            <w:shd w:val="clear" w:color="auto" w:fill="auto"/>
            <w:vAlign w:val="top"/>
          </w:tcPr>
          <w:p w14:paraId="7C622BA7">
            <w:pPr>
              <w:pStyle w:val="9"/>
              <w:numPr>
                <w:ilvl w:val="0"/>
                <w:numId w:val="0"/>
              </w:numPr>
              <w:spacing w:line="600" w:lineRule="auto"/>
              <w:ind w:left="0" w:leftChars="0"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sz w:val="28"/>
                <w:szCs w:val="28"/>
                <w:lang w:val="en-US" w:eastAsia="zh-CN"/>
              </w:rPr>
              <w:t>8</w:t>
            </w:r>
          </w:p>
        </w:tc>
        <w:tc>
          <w:tcPr>
            <w:tcW w:w="3224" w:type="dxa"/>
            <w:vAlign w:val="center"/>
          </w:tcPr>
          <w:p w14:paraId="225B47FB">
            <w:pPr>
              <w:keepNext w:val="0"/>
              <w:keepLines w:val="0"/>
              <w:widowControl/>
              <w:suppressLineNumbers w:val="0"/>
              <w:spacing w:line="600" w:lineRule="auto"/>
              <w:jc w:val="center"/>
              <w:textAlignment w:val="center"/>
              <w:rPr>
                <w:rFonts w:hint="eastAsia" w:ascii="宋体" w:hAnsi="宋体" w:eastAsia="宋体" w:cs="宋体"/>
                <w:sz w:val="28"/>
                <w:szCs w:val="28"/>
              </w:rPr>
            </w:pPr>
            <w:r>
              <w:rPr>
                <w:rFonts w:hint="eastAsia" w:ascii="宋体" w:hAnsi="宋体" w:eastAsia="宋体" w:cs="宋体"/>
                <w:sz w:val="28"/>
                <w:szCs w:val="28"/>
              </w:rPr>
              <w:t>围棋机器人</w:t>
            </w:r>
          </w:p>
        </w:tc>
        <w:tc>
          <w:tcPr>
            <w:tcW w:w="991" w:type="dxa"/>
            <w:vAlign w:val="center"/>
          </w:tcPr>
          <w:p w14:paraId="4C5A895C">
            <w:pPr>
              <w:keepNext w:val="0"/>
              <w:keepLines w:val="0"/>
              <w:widowControl/>
              <w:suppressLineNumbers w:val="0"/>
              <w:spacing w:line="600" w:lineRule="auto"/>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2</w:t>
            </w:r>
          </w:p>
        </w:tc>
        <w:tc>
          <w:tcPr>
            <w:tcW w:w="1015" w:type="dxa"/>
            <w:vAlign w:val="center"/>
          </w:tcPr>
          <w:p w14:paraId="3134A64B">
            <w:pPr>
              <w:keepNext w:val="0"/>
              <w:keepLines w:val="0"/>
              <w:widowControl/>
              <w:suppressLineNumbers w:val="0"/>
              <w:spacing w:line="600" w:lineRule="auto"/>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台</w:t>
            </w:r>
          </w:p>
        </w:tc>
        <w:tc>
          <w:tcPr>
            <w:tcW w:w="1780" w:type="dxa"/>
          </w:tcPr>
          <w:p w14:paraId="1871ECB9">
            <w:pPr>
              <w:spacing w:line="600" w:lineRule="auto"/>
              <w:jc w:val="center"/>
              <w:rPr>
                <w:rFonts w:hint="eastAsia" w:ascii="宋体" w:hAnsi="宋体" w:eastAsia="宋体" w:cs="宋体"/>
                <w:sz w:val="28"/>
                <w:szCs w:val="28"/>
              </w:rPr>
            </w:pPr>
          </w:p>
        </w:tc>
      </w:tr>
      <w:tr w14:paraId="70B27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jc w:val="center"/>
        </w:trPr>
        <w:tc>
          <w:tcPr>
            <w:tcW w:w="1286" w:type="dxa"/>
            <w:shd w:val="clear" w:color="auto" w:fill="auto"/>
            <w:vAlign w:val="top"/>
          </w:tcPr>
          <w:p w14:paraId="7B872C45">
            <w:pPr>
              <w:pStyle w:val="9"/>
              <w:numPr>
                <w:ilvl w:val="0"/>
                <w:numId w:val="0"/>
              </w:numPr>
              <w:spacing w:line="600" w:lineRule="auto"/>
              <w:ind w:left="0" w:leftChars="0" w:firstLine="0" w:firstLineChars="0"/>
              <w:jc w:val="center"/>
              <w:rPr>
                <w:rFonts w:hint="default" w:ascii="宋体" w:hAnsi="宋体" w:eastAsia="宋体" w:cs="宋体"/>
                <w:kern w:val="2"/>
                <w:sz w:val="28"/>
                <w:szCs w:val="28"/>
                <w:lang w:val="en-US" w:eastAsia="zh-CN" w:bidi="ar-SA"/>
              </w:rPr>
            </w:pPr>
            <w:r>
              <w:rPr>
                <w:rFonts w:hint="eastAsia" w:ascii="宋体" w:hAnsi="宋体" w:eastAsia="宋体" w:cs="宋体"/>
                <w:sz w:val="28"/>
                <w:szCs w:val="28"/>
                <w:lang w:val="en-US" w:eastAsia="zh-CN"/>
              </w:rPr>
              <w:t>9</w:t>
            </w:r>
          </w:p>
        </w:tc>
        <w:tc>
          <w:tcPr>
            <w:tcW w:w="3224" w:type="dxa"/>
            <w:vAlign w:val="center"/>
          </w:tcPr>
          <w:p w14:paraId="7E010866">
            <w:pPr>
              <w:keepNext w:val="0"/>
              <w:keepLines w:val="0"/>
              <w:widowControl/>
              <w:suppressLineNumbers w:val="0"/>
              <w:spacing w:line="600" w:lineRule="auto"/>
              <w:jc w:val="center"/>
              <w:textAlignment w:val="center"/>
              <w:rPr>
                <w:rFonts w:hint="eastAsia" w:ascii="宋体" w:hAnsi="宋体" w:eastAsia="宋体" w:cs="宋体"/>
                <w:sz w:val="28"/>
                <w:szCs w:val="28"/>
              </w:rPr>
            </w:pPr>
            <w:r>
              <w:rPr>
                <w:rFonts w:hint="eastAsia" w:ascii="宋体" w:hAnsi="宋体" w:eastAsia="宋体" w:cs="宋体"/>
                <w:sz w:val="28"/>
                <w:szCs w:val="28"/>
              </w:rPr>
              <w:t>健身房影像音箱</w:t>
            </w:r>
          </w:p>
        </w:tc>
        <w:tc>
          <w:tcPr>
            <w:tcW w:w="991" w:type="dxa"/>
            <w:vAlign w:val="center"/>
          </w:tcPr>
          <w:p w14:paraId="31300B31">
            <w:pPr>
              <w:keepNext w:val="0"/>
              <w:keepLines w:val="0"/>
              <w:widowControl/>
              <w:suppressLineNumbers w:val="0"/>
              <w:spacing w:line="600" w:lineRule="auto"/>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w:t>
            </w:r>
          </w:p>
        </w:tc>
        <w:tc>
          <w:tcPr>
            <w:tcW w:w="1015" w:type="dxa"/>
            <w:vAlign w:val="center"/>
          </w:tcPr>
          <w:p w14:paraId="5A9D928E">
            <w:pPr>
              <w:keepNext w:val="0"/>
              <w:keepLines w:val="0"/>
              <w:widowControl/>
              <w:suppressLineNumbers w:val="0"/>
              <w:spacing w:line="600" w:lineRule="auto"/>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套</w:t>
            </w:r>
          </w:p>
        </w:tc>
        <w:tc>
          <w:tcPr>
            <w:tcW w:w="1780" w:type="dxa"/>
          </w:tcPr>
          <w:p w14:paraId="7872EF45">
            <w:pPr>
              <w:spacing w:line="600" w:lineRule="auto"/>
              <w:jc w:val="center"/>
              <w:rPr>
                <w:rFonts w:hint="eastAsia" w:ascii="宋体" w:hAnsi="宋体" w:eastAsia="宋体" w:cs="宋体"/>
                <w:sz w:val="28"/>
                <w:szCs w:val="28"/>
              </w:rPr>
            </w:pPr>
          </w:p>
        </w:tc>
      </w:tr>
    </w:tbl>
    <w:p w14:paraId="40458974">
      <w:pPr>
        <w:widowControl/>
        <w:jc w:val="left"/>
        <w:rPr>
          <w:sz w:val="20"/>
          <w:szCs w:val="21"/>
        </w:rPr>
      </w:pPr>
    </w:p>
    <w:p w14:paraId="649A4EB9">
      <w:pPr>
        <w:rPr>
          <w:sz w:val="20"/>
          <w:szCs w:val="21"/>
        </w:rPr>
      </w:pPr>
    </w:p>
    <w:p w14:paraId="469FE471">
      <w:pPr>
        <w:rPr>
          <w:sz w:val="20"/>
          <w:szCs w:val="21"/>
        </w:rPr>
      </w:pPr>
    </w:p>
    <w:p w14:paraId="7B39EF94">
      <w:pPr>
        <w:rPr>
          <w:sz w:val="20"/>
          <w:szCs w:val="21"/>
        </w:rPr>
      </w:pPr>
    </w:p>
    <w:p w14:paraId="0659FF64">
      <w:pPr>
        <w:rPr>
          <w:sz w:val="20"/>
          <w:szCs w:val="21"/>
        </w:rPr>
      </w:pPr>
    </w:p>
    <w:p w14:paraId="452E5D9E">
      <w:pPr>
        <w:rPr>
          <w:sz w:val="20"/>
          <w:szCs w:val="21"/>
        </w:rPr>
      </w:pPr>
    </w:p>
    <w:p w14:paraId="2D76D934">
      <w:pPr>
        <w:rPr>
          <w:rFonts w:hint="eastAsia"/>
          <w:sz w:val="20"/>
          <w:szCs w:val="21"/>
          <w:lang w:val="en-US" w:eastAsia="zh-CN"/>
        </w:rPr>
      </w:pPr>
      <w:r>
        <w:rPr>
          <w:rFonts w:hint="eastAsia"/>
          <w:sz w:val="20"/>
          <w:szCs w:val="21"/>
          <w:lang w:val="en-US" w:eastAsia="zh-CN"/>
        </w:rPr>
        <w:br w:type="page"/>
      </w:r>
    </w:p>
    <w:p w14:paraId="4ADE6683">
      <w:pPr>
        <w:rPr>
          <w:rFonts w:hint="default" w:eastAsiaTheme="minorEastAsia"/>
          <w:sz w:val="20"/>
          <w:szCs w:val="21"/>
          <w:lang w:val="en-US" w:eastAsia="zh-CN"/>
        </w:rPr>
      </w:pPr>
      <w:r>
        <w:rPr>
          <w:rFonts w:hint="eastAsia"/>
          <w:sz w:val="20"/>
          <w:szCs w:val="21"/>
          <w:lang w:val="en-US" w:eastAsia="zh-CN"/>
        </w:rPr>
        <w:t>技术参数：</w:t>
      </w:r>
    </w:p>
    <w:tbl>
      <w:tblPr>
        <w:tblStyle w:val="5"/>
        <w:tblW w:w="92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4"/>
        <w:gridCol w:w="1425"/>
        <w:gridCol w:w="6978"/>
      </w:tblGrid>
      <w:tr w14:paraId="5070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854" w:type="dxa"/>
            <w:vAlign w:val="center"/>
          </w:tcPr>
          <w:p w14:paraId="661F29DB">
            <w:pPr>
              <w:jc w:val="center"/>
              <w:rPr>
                <w:rFonts w:hint="eastAsia" w:ascii="宋体" w:hAnsi="宋体" w:eastAsia="宋体" w:cs="宋体"/>
                <w:sz w:val="28"/>
                <w:szCs w:val="28"/>
              </w:rPr>
            </w:pPr>
            <w:r>
              <w:rPr>
                <w:rFonts w:hint="eastAsia" w:ascii="宋体" w:hAnsi="宋体" w:eastAsia="宋体" w:cs="宋体"/>
                <w:sz w:val="28"/>
                <w:szCs w:val="28"/>
              </w:rPr>
              <w:t>序号</w:t>
            </w:r>
          </w:p>
        </w:tc>
        <w:tc>
          <w:tcPr>
            <w:tcW w:w="1425" w:type="dxa"/>
            <w:vAlign w:val="center"/>
          </w:tcPr>
          <w:p w14:paraId="5495B171">
            <w:pPr>
              <w:jc w:val="center"/>
              <w:rPr>
                <w:rFonts w:hint="eastAsia" w:ascii="宋体" w:hAnsi="宋体" w:eastAsia="宋体" w:cs="宋体"/>
                <w:sz w:val="28"/>
                <w:szCs w:val="28"/>
              </w:rPr>
            </w:pPr>
            <w:r>
              <w:rPr>
                <w:rFonts w:hint="eastAsia" w:ascii="宋体" w:hAnsi="宋体" w:eastAsia="宋体" w:cs="宋体"/>
                <w:sz w:val="28"/>
                <w:szCs w:val="28"/>
              </w:rPr>
              <w:t>货物名称</w:t>
            </w:r>
          </w:p>
        </w:tc>
        <w:tc>
          <w:tcPr>
            <w:tcW w:w="6978" w:type="dxa"/>
            <w:vAlign w:val="center"/>
          </w:tcPr>
          <w:p w14:paraId="0DC511B2">
            <w:pPr>
              <w:jc w:val="center"/>
              <w:rPr>
                <w:rFonts w:hint="eastAsia" w:ascii="宋体" w:hAnsi="宋体" w:eastAsia="宋体" w:cs="宋体"/>
                <w:sz w:val="28"/>
                <w:szCs w:val="28"/>
              </w:rPr>
            </w:pPr>
            <w:r>
              <w:rPr>
                <w:rFonts w:hint="eastAsia" w:ascii="宋体" w:hAnsi="宋体" w:eastAsia="宋体" w:cs="宋体"/>
                <w:sz w:val="28"/>
                <w:szCs w:val="28"/>
              </w:rPr>
              <w:t>采购技术要求</w:t>
            </w:r>
          </w:p>
        </w:tc>
      </w:tr>
      <w:tr w14:paraId="576E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3" w:hRule="atLeast"/>
          <w:jc w:val="center"/>
        </w:trPr>
        <w:tc>
          <w:tcPr>
            <w:tcW w:w="854" w:type="dxa"/>
            <w:vAlign w:val="center"/>
          </w:tcPr>
          <w:p w14:paraId="165B3DB4">
            <w:pPr>
              <w:pStyle w:val="9"/>
              <w:numPr>
                <w:ilvl w:val="0"/>
                <w:numId w:val="0"/>
              </w:numPr>
              <w:spacing w:line="600" w:lineRule="auto"/>
              <w:ind w:left="0" w:leftChars="0" w:firstLine="0" w:firstLineChars="0"/>
              <w:jc w:val="center"/>
              <w:rPr>
                <w:rFonts w:hint="eastAsia" w:asciiTheme="minorHAnsi" w:hAnsiTheme="minorHAnsi" w:eastAsiaTheme="minorEastAsia" w:cstheme="minorBidi"/>
                <w:kern w:val="2"/>
                <w:sz w:val="22"/>
                <w:szCs w:val="24"/>
                <w:lang w:val="en-US" w:eastAsia="zh-CN" w:bidi="ar-SA"/>
              </w:rPr>
            </w:pPr>
            <w:r>
              <w:rPr>
                <w:rFonts w:hint="eastAsia" w:asciiTheme="minorHAnsi" w:hAnsiTheme="minorHAnsi" w:eastAsiaTheme="minorEastAsia" w:cstheme="minorBidi"/>
                <w:kern w:val="2"/>
                <w:sz w:val="22"/>
                <w:szCs w:val="24"/>
                <w:lang w:val="en-US" w:eastAsia="zh-CN" w:bidi="ar-SA"/>
              </w:rPr>
              <w:t>1</w:t>
            </w:r>
          </w:p>
        </w:tc>
        <w:tc>
          <w:tcPr>
            <w:tcW w:w="1425" w:type="dxa"/>
            <w:vAlign w:val="center"/>
          </w:tcPr>
          <w:p w14:paraId="455ACD2D">
            <w:pPr>
              <w:keepNext w:val="0"/>
              <w:keepLines w:val="0"/>
              <w:widowControl/>
              <w:suppressLineNumbers w:val="0"/>
              <w:spacing w:line="600" w:lineRule="auto"/>
              <w:jc w:val="center"/>
              <w:textAlignment w:val="center"/>
              <w:rPr>
                <w:rFonts w:hint="eastAsia" w:asciiTheme="minorHAnsi" w:hAnsiTheme="minorHAnsi" w:eastAsiaTheme="minorEastAsia" w:cstheme="minorBidi"/>
                <w:kern w:val="2"/>
                <w:sz w:val="22"/>
                <w:szCs w:val="24"/>
                <w:lang w:val="en-US" w:eastAsia="zh-CN" w:bidi="ar-SA"/>
              </w:rPr>
            </w:pPr>
            <w:r>
              <w:rPr>
                <w:rFonts w:hint="eastAsia" w:asciiTheme="minorHAnsi" w:hAnsiTheme="minorHAnsi" w:eastAsiaTheme="minorEastAsia" w:cstheme="minorBidi"/>
                <w:kern w:val="2"/>
                <w:sz w:val="22"/>
                <w:szCs w:val="24"/>
                <w:lang w:val="en-US" w:eastAsia="zh-CN" w:bidi="ar-SA"/>
              </w:rPr>
              <w:t>杠铃杆</w:t>
            </w:r>
          </w:p>
        </w:tc>
        <w:tc>
          <w:tcPr>
            <w:tcW w:w="6978" w:type="dxa"/>
            <w:vAlign w:val="center"/>
          </w:tcPr>
          <w:p w14:paraId="21B7BD7D">
            <w:pPr>
              <w:jc w:val="both"/>
              <w:rPr>
                <w:rFonts w:hint="eastAsia"/>
                <w:sz w:val="22"/>
                <w:szCs w:val="24"/>
                <w:lang w:val="en-US" w:eastAsia="zh-CN"/>
              </w:rPr>
            </w:pPr>
            <w:r>
              <w:rPr>
                <w:rFonts w:hint="eastAsia"/>
                <w:sz w:val="22"/>
                <w:szCs w:val="24"/>
                <w:lang w:val="en-US" w:eastAsia="zh-CN"/>
              </w:rPr>
              <w:t>1.阻力形式：铃片(另配)</w:t>
            </w:r>
          </w:p>
          <w:p w14:paraId="2D6EE9C2">
            <w:pPr>
              <w:jc w:val="both"/>
              <w:rPr>
                <w:rFonts w:hint="eastAsia"/>
                <w:sz w:val="22"/>
                <w:szCs w:val="24"/>
                <w:lang w:val="en-US" w:eastAsia="zh-CN"/>
              </w:rPr>
            </w:pPr>
            <w:r>
              <w:rPr>
                <w:rFonts w:hint="eastAsia"/>
                <w:sz w:val="22"/>
                <w:szCs w:val="24"/>
                <w:lang w:val="en-US" w:eastAsia="zh-CN"/>
              </w:rPr>
              <w:t>2.表面处理：镀铬(满足 72 小时盐雾测试≥6 级)</w:t>
            </w:r>
          </w:p>
          <w:p w14:paraId="1EAD916E">
            <w:pPr>
              <w:jc w:val="both"/>
              <w:rPr>
                <w:rFonts w:hint="eastAsia"/>
                <w:sz w:val="22"/>
                <w:szCs w:val="24"/>
                <w:lang w:val="en-US" w:eastAsia="zh-CN"/>
              </w:rPr>
            </w:pPr>
            <w:r>
              <w:rPr>
                <w:rFonts w:hint="eastAsia"/>
                <w:sz w:val="22"/>
                <w:szCs w:val="24"/>
                <w:lang w:val="en-US" w:eastAsia="zh-CN"/>
              </w:rPr>
              <w:t>3.重量：≥20kg</w:t>
            </w:r>
          </w:p>
          <w:p w14:paraId="787C3C1C">
            <w:pPr>
              <w:jc w:val="both"/>
              <w:rPr>
                <w:rFonts w:hint="eastAsia"/>
                <w:sz w:val="22"/>
                <w:szCs w:val="24"/>
                <w:lang w:val="en-US" w:eastAsia="zh-CN"/>
              </w:rPr>
            </w:pPr>
            <w:r>
              <w:rPr>
                <w:rFonts w:hint="eastAsia"/>
                <w:sz w:val="22"/>
                <w:szCs w:val="24"/>
                <w:lang w:val="en-US" w:eastAsia="zh-CN"/>
              </w:rPr>
              <w:t>4.抗拉强度：≥215K  PSI</w:t>
            </w:r>
          </w:p>
          <w:p w14:paraId="597A678C">
            <w:pPr>
              <w:jc w:val="both"/>
              <w:rPr>
                <w:rFonts w:hint="eastAsia"/>
                <w:sz w:val="22"/>
                <w:szCs w:val="24"/>
                <w:lang w:val="en-US" w:eastAsia="zh-CN"/>
              </w:rPr>
            </w:pPr>
            <w:r>
              <w:rPr>
                <w:rFonts w:hint="eastAsia"/>
                <w:sz w:val="22"/>
                <w:szCs w:val="24"/>
                <w:lang w:val="en-US" w:eastAsia="zh-CN"/>
              </w:rPr>
              <w:t>5.长度：≥220cm</w:t>
            </w:r>
          </w:p>
          <w:p w14:paraId="6080881B">
            <w:pPr>
              <w:jc w:val="both"/>
              <w:rPr>
                <w:rFonts w:hint="eastAsia"/>
                <w:sz w:val="22"/>
                <w:szCs w:val="24"/>
                <w:lang w:val="en-US" w:eastAsia="zh-CN"/>
              </w:rPr>
            </w:pPr>
            <w:r>
              <w:rPr>
                <w:rFonts w:hint="eastAsia"/>
                <w:sz w:val="22"/>
                <w:szCs w:val="24"/>
                <w:lang w:val="en-US" w:eastAsia="zh-CN"/>
              </w:rPr>
              <w:t>6.配件：快速卡头一对(需带有品牌logo标)</w:t>
            </w:r>
          </w:p>
          <w:p w14:paraId="0D7080D8">
            <w:pPr>
              <w:jc w:val="both"/>
              <w:rPr>
                <w:rFonts w:hint="eastAsia"/>
                <w:sz w:val="22"/>
                <w:szCs w:val="24"/>
                <w:lang w:val="en-US" w:eastAsia="zh-CN"/>
              </w:rPr>
            </w:pPr>
            <w:r>
              <w:rPr>
                <w:rFonts w:hint="eastAsia"/>
                <w:sz w:val="22"/>
                <w:szCs w:val="24"/>
                <w:lang w:val="en-US" w:eastAsia="zh-CN"/>
              </w:rPr>
              <w:t>7.承重：≥2000LB；按 GB23177-2008 加载380KG 圆跳动度小于0.6mm</w:t>
            </w:r>
          </w:p>
          <w:p w14:paraId="3E0D5CBC">
            <w:pPr>
              <w:jc w:val="both"/>
              <w:rPr>
                <w:rFonts w:hint="eastAsia"/>
                <w:sz w:val="22"/>
                <w:szCs w:val="24"/>
                <w:lang w:val="en-US" w:eastAsia="zh-CN"/>
              </w:rPr>
            </w:pPr>
            <w:r>
              <w:rPr>
                <w:rFonts w:hint="eastAsia"/>
                <w:sz w:val="22"/>
                <w:szCs w:val="24"/>
                <w:lang w:val="en-US" w:eastAsia="zh-CN"/>
              </w:rPr>
              <w:t>8.滚花：IWF1.2mm (5 段)</w:t>
            </w:r>
          </w:p>
          <w:p w14:paraId="3E0ED39F">
            <w:pPr>
              <w:jc w:val="both"/>
              <w:rPr>
                <w:rFonts w:hint="eastAsia"/>
                <w:sz w:val="22"/>
                <w:szCs w:val="24"/>
                <w:lang w:val="en-US" w:eastAsia="zh-CN"/>
              </w:rPr>
            </w:pPr>
            <w:r>
              <w:rPr>
                <w:rFonts w:hint="eastAsia"/>
                <w:sz w:val="22"/>
                <w:szCs w:val="24"/>
                <w:lang w:val="en-US" w:eastAsia="zh-CN"/>
              </w:rPr>
              <w:t>9.轴承：滚针×10、套筒×2</w:t>
            </w:r>
          </w:p>
          <w:p w14:paraId="7743FF43">
            <w:pPr>
              <w:jc w:val="both"/>
              <w:rPr>
                <w:rFonts w:hint="eastAsia"/>
                <w:sz w:val="22"/>
                <w:szCs w:val="24"/>
                <w:lang w:val="en-US" w:eastAsia="zh-CN"/>
              </w:rPr>
            </w:pPr>
            <w:r>
              <w:rPr>
                <w:rFonts w:hint="eastAsia"/>
                <w:sz w:val="22"/>
                <w:szCs w:val="24"/>
                <w:lang w:val="en-US" w:eastAsia="zh-CN"/>
              </w:rPr>
              <w:t>10.握把直径：≥28mm</w:t>
            </w:r>
          </w:p>
          <w:p w14:paraId="54C39842">
            <w:pPr>
              <w:jc w:val="both"/>
              <w:rPr>
                <w:rFonts w:hint="eastAsia"/>
                <w:sz w:val="22"/>
                <w:szCs w:val="24"/>
                <w:lang w:val="en-US" w:eastAsia="zh-CN"/>
              </w:rPr>
            </w:pPr>
            <w:r>
              <w:rPr>
                <w:rFonts w:hint="eastAsia"/>
                <w:sz w:val="22"/>
                <w:szCs w:val="24"/>
                <w:lang w:val="en-US" w:eastAsia="zh-CN"/>
              </w:rPr>
              <w:t>11.握把长度：≥131cm</w:t>
            </w:r>
          </w:p>
          <w:p w14:paraId="1F318AE9">
            <w:pPr>
              <w:jc w:val="both"/>
              <w:rPr>
                <w:rFonts w:hint="eastAsia"/>
                <w:sz w:val="22"/>
                <w:szCs w:val="24"/>
                <w:lang w:val="en-US" w:eastAsia="zh-CN"/>
              </w:rPr>
            </w:pPr>
            <w:r>
              <w:rPr>
                <w:rFonts w:hint="eastAsia"/>
                <w:sz w:val="22"/>
                <w:szCs w:val="24"/>
                <w:lang w:val="en-US" w:eastAsia="zh-CN"/>
              </w:rPr>
              <w:t>12.套筒直径：≥50mm</w:t>
            </w:r>
          </w:p>
        </w:tc>
      </w:tr>
      <w:tr w14:paraId="19298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4" w:hRule="atLeast"/>
          <w:jc w:val="center"/>
        </w:trPr>
        <w:tc>
          <w:tcPr>
            <w:tcW w:w="854" w:type="dxa"/>
            <w:vAlign w:val="center"/>
          </w:tcPr>
          <w:p w14:paraId="4E74E7F9">
            <w:pPr>
              <w:pStyle w:val="9"/>
              <w:numPr>
                <w:ilvl w:val="0"/>
                <w:numId w:val="0"/>
              </w:numPr>
              <w:spacing w:line="600" w:lineRule="auto"/>
              <w:ind w:left="0" w:leftChars="0" w:firstLine="0" w:firstLineChars="0"/>
              <w:jc w:val="center"/>
              <w:rPr>
                <w:rFonts w:hint="eastAsia" w:asciiTheme="minorHAnsi" w:hAnsiTheme="minorHAnsi" w:eastAsiaTheme="minorEastAsia" w:cstheme="minorBidi"/>
                <w:kern w:val="2"/>
                <w:sz w:val="22"/>
                <w:szCs w:val="24"/>
                <w:lang w:val="en-US" w:eastAsia="zh-CN" w:bidi="ar-SA"/>
              </w:rPr>
            </w:pPr>
            <w:r>
              <w:rPr>
                <w:rFonts w:hint="eastAsia" w:asciiTheme="minorHAnsi" w:hAnsiTheme="minorHAnsi" w:eastAsiaTheme="minorEastAsia" w:cstheme="minorBidi"/>
                <w:kern w:val="2"/>
                <w:sz w:val="22"/>
                <w:szCs w:val="24"/>
                <w:lang w:val="en-US" w:eastAsia="zh-CN" w:bidi="ar-SA"/>
              </w:rPr>
              <w:t>2</w:t>
            </w:r>
          </w:p>
        </w:tc>
        <w:tc>
          <w:tcPr>
            <w:tcW w:w="1425" w:type="dxa"/>
            <w:vAlign w:val="center"/>
          </w:tcPr>
          <w:p w14:paraId="75F42687">
            <w:pPr>
              <w:keepNext w:val="0"/>
              <w:keepLines w:val="0"/>
              <w:widowControl/>
              <w:suppressLineNumbers w:val="0"/>
              <w:spacing w:line="600" w:lineRule="auto"/>
              <w:jc w:val="center"/>
              <w:textAlignment w:val="center"/>
              <w:rPr>
                <w:rFonts w:hint="eastAsia" w:asciiTheme="minorHAnsi" w:hAnsiTheme="minorHAnsi" w:eastAsiaTheme="minorEastAsia" w:cstheme="minorBidi"/>
                <w:kern w:val="2"/>
                <w:sz w:val="22"/>
                <w:szCs w:val="24"/>
                <w:lang w:val="en-US" w:eastAsia="zh-CN" w:bidi="ar-SA"/>
              </w:rPr>
            </w:pPr>
            <w:r>
              <w:rPr>
                <w:rFonts w:hint="eastAsia" w:asciiTheme="minorHAnsi" w:hAnsiTheme="minorHAnsi" w:eastAsiaTheme="minorEastAsia" w:cstheme="minorBidi"/>
                <w:kern w:val="2"/>
                <w:sz w:val="22"/>
                <w:szCs w:val="24"/>
                <w:lang w:val="en-US" w:eastAsia="zh-CN" w:bidi="ar-SA"/>
              </w:rPr>
              <w:t>史密斯综合训练器</w:t>
            </w:r>
          </w:p>
        </w:tc>
        <w:tc>
          <w:tcPr>
            <w:tcW w:w="6978" w:type="dxa"/>
            <w:vAlign w:val="center"/>
          </w:tcPr>
          <w:p w14:paraId="599A2C05">
            <w:pPr>
              <w:jc w:val="both"/>
              <w:rPr>
                <w:rFonts w:hint="eastAsia"/>
                <w:sz w:val="22"/>
                <w:szCs w:val="24"/>
                <w:lang w:val="en-US" w:eastAsia="zh-CN"/>
              </w:rPr>
            </w:pPr>
            <w:r>
              <w:rPr>
                <w:rFonts w:hint="eastAsia"/>
                <w:sz w:val="22"/>
                <w:szCs w:val="24"/>
                <w:lang w:val="en-US" w:eastAsia="zh-CN"/>
              </w:rPr>
              <w:t xml:space="preserve">综合训练器健身器材多功能（四合一）                                                                        1、产品尺寸：≥2286*1358*2192mm           </w:t>
            </w:r>
          </w:p>
          <w:p w14:paraId="04C588C3">
            <w:pPr>
              <w:jc w:val="both"/>
              <w:rPr>
                <w:rFonts w:hint="eastAsia"/>
                <w:sz w:val="22"/>
                <w:szCs w:val="24"/>
                <w:lang w:val="en-US" w:eastAsia="zh-CN"/>
              </w:rPr>
            </w:pPr>
            <w:r>
              <w:rPr>
                <w:rFonts w:hint="eastAsia"/>
                <w:sz w:val="22"/>
                <w:szCs w:val="24"/>
                <w:lang w:val="en-US" w:eastAsia="zh-CN"/>
              </w:rPr>
              <w:t xml:space="preserve">2、配置块：≥164KG                          </w:t>
            </w:r>
          </w:p>
          <w:p w14:paraId="278887FF">
            <w:pPr>
              <w:jc w:val="both"/>
              <w:rPr>
                <w:rFonts w:hint="eastAsia"/>
                <w:sz w:val="22"/>
                <w:szCs w:val="24"/>
                <w:lang w:val="en-US" w:eastAsia="zh-CN"/>
              </w:rPr>
            </w:pPr>
            <w:r>
              <w:rPr>
                <w:rFonts w:hint="eastAsia"/>
                <w:sz w:val="22"/>
                <w:szCs w:val="24"/>
                <w:lang w:val="en-US" w:eastAsia="zh-CN"/>
              </w:rPr>
              <w:t xml:space="preserve">3、最大产品训练载荷：≥120KG                 </w:t>
            </w:r>
          </w:p>
          <w:p w14:paraId="22C16613">
            <w:pPr>
              <w:jc w:val="both"/>
              <w:rPr>
                <w:rFonts w:hint="eastAsia"/>
                <w:sz w:val="22"/>
                <w:szCs w:val="24"/>
                <w:lang w:val="en-US" w:eastAsia="zh-CN"/>
              </w:rPr>
            </w:pPr>
            <w:r>
              <w:rPr>
                <w:rFonts w:hint="eastAsia"/>
                <w:sz w:val="22"/>
                <w:szCs w:val="24"/>
                <w:lang w:val="en-US" w:eastAsia="zh-CN"/>
              </w:rPr>
              <w:t xml:space="preserve">4、最大人体使用重量：≥120KG              </w:t>
            </w:r>
          </w:p>
          <w:p w14:paraId="60A6903D">
            <w:pPr>
              <w:jc w:val="both"/>
              <w:rPr>
                <w:rFonts w:hint="eastAsia"/>
                <w:sz w:val="22"/>
                <w:szCs w:val="24"/>
                <w:lang w:val="en-US" w:eastAsia="zh-CN"/>
              </w:rPr>
            </w:pPr>
            <w:r>
              <w:rPr>
                <w:rFonts w:hint="eastAsia"/>
                <w:sz w:val="22"/>
                <w:szCs w:val="24"/>
                <w:lang w:val="en-US" w:eastAsia="zh-CN"/>
              </w:rPr>
              <w:t xml:space="preserve">5、净重：357.8kg                             </w:t>
            </w:r>
          </w:p>
          <w:p w14:paraId="68B0D0A1">
            <w:pPr>
              <w:jc w:val="both"/>
              <w:rPr>
                <w:rFonts w:hint="eastAsia"/>
                <w:sz w:val="22"/>
                <w:szCs w:val="24"/>
                <w:lang w:val="en-US" w:eastAsia="zh-CN"/>
              </w:rPr>
            </w:pPr>
            <w:r>
              <w:rPr>
                <w:rFonts w:hint="eastAsia"/>
                <w:sz w:val="22"/>
                <w:szCs w:val="24"/>
                <w:lang w:val="en-US" w:eastAsia="zh-CN"/>
              </w:rPr>
              <w:t xml:space="preserve">6、管材厚度：≥2.0mm                      </w:t>
            </w:r>
          </w:p>
          <w:p w14:paraId="0DB49986">
            <w:pPr>
              <w:jc w:val="both"/>
              <w:rPr>
                <w:rFonts w:hint="eastAsia"/>
                <w:sz w:val="22"/>
                <w:szCs w:val="24"/>
                <w:lang w:val="en-US" w:eastAsia="zh-CN"/>
              </w:rPr>
            </w:pPr>
            <w:r>
              <w:rPr>
                <w:rFonts w:hint="eastAsia"/>
                <w:sz w:val="22"/>
                <w:szCs w:val="24"/>
                <w:lang w:val="en-US" w:eastAsia="zh-CN"/>
              </w:rPr>
              <w:t xml:space="preserve">7、钢丝绳：≥Φ4.8mm                      </w:t>
            </w:r>
          </w:p>
          <w:p w14:paraId="7EBAAB09">
            <w:pPr>
              <w:jc w:val="both"/>
              <w:rPr>
                <w:rFonts w:hint="eastAsia"/>
                <w:sz w:val="22"/>
                <w:szCs w:val="24"/>
                <w:lang w:val="en-US" w:eastAsia="zh-CN"/>
              </w:rPr>
            </w:pPr>
            <w:r>
              <w:rPr>
                <w:rFonts w:hint="eastAsia"/>
                <w:sz w:val="22"/>
                <w:szCs w:val="24"/>
                <w:lang w:val="en-US" w:eastAsia="zh-CN"/>
              </w:rPr>
              <w:t xml:space="preserve">8、配套杠铃片140KG ：5KG*2片、10KG*2片、15KG*2片、20KG*4片、20KG三项杆1根 </w:t>
            </w:r>
          </w:p>
          <w:p w14:paraId="15B41B3E">
            <w:pPr>
              <w:jc w:val="both"/>
              <w:rPr>
                <w:rFonts w:hint="eastAsia"/>
                <w:sz w:val="22"/>
                <w:szCs w:val="24"/>
                <w:lang w:val="en-US" w:eastAsia="zh-CN"/>
              </w:rPr>
            </w:pPr>
            <w:r>
              <w:rPr>
                <w:rFonts w:hint="eastAsia"/>
                <w:sz w:val="22"/>
                <w:szCs w:val="24"/>
                <w:lang w:val="en-US" w:eastAsia="zh-CN"/>
              </w:rPr>
              <w:t>9、配套14档自由调节，25档精准高度调节，2MM加厚管材，6组杠铃片挂架，三环拉手带×2，高拉把手×1，低拉把手×1，弹簧夹×2，臂屈伸挂杆×2，长安全杆×2，短安全杆×2</w:t>
            </w:r>
          </w:p>
        </w:tc>
      </w:tr>
      <w:tr w14:paraId="040C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854" w:type="dxa"/>
            <w:vAlign w:val="center"/>
          </w:tcPr>
          <w:p w14:paraId="25354C87">
            <w:pPr>
              <w:pStyle w:val="9"/>
              <w:numPr>
                <w:ilvl w:val="0"/>
                <w:numId w:val="0"/>
              </w:numPr>
              <w:spacing w:line="600" w:lineRule="auto"/>
              <w:ind w:left="0" w:leftChars="0" w:firstLine="0" w:firstLineChars="0"/>
              <w:jc w:val="center"/>
              <w:rPr>
                <w:rFonts w:hint="eastAsia" w:asciiTheme="minorHAnsi" w:hAnsiTheme="minorHAnsi" w:eastAsiaTheme="minorEastAsia" w:cstheme="minorBidi"/>
                <w:kern w:val="2"/>
                <w:sz w:val="22"/>
                <w:szCs w:val="24"/>
                <w:lang w:val="en-US" w:eastAsia="zh-CN" w:bidi="ar-SA"/>
              </w:rPr>
            </w:pPr>
            <w:r>
              <w:rPr>
                <w:rFonts w:hint="eastAsia" w:asciiTheme="minorHAnsi" w:hAnsiTheme="minorHAnsi" w:eastAsiaTheme="minorEastAsia" w:cstheme="minorBidi"/>
                <w:kern w:val="2"/>
                <w:sz w:val="22"/>
                <w:szCs w:val="24"/>
                <w:lang w:val="en-US" w:eastAsia="zh-CN" w:bidi="ar-SA"/>
              </w:rPr>
              <w:t>3</w:t>
            </w:r>
          </w:p>
        </w:tc>
        <w:tc>
          <w:tcPr>
            <w:tcW w:w="1425" w:type="dxa"/>
            <w:vAlign w:val="center"/>
          </w:tcPr>
          <w:p w14:paraId="08C5AF03">
            <w:pPr>
              <w:keepNext w:val="0"/>
              <w:keepLines w:val="0"/>
              <w:widowControl/>
              <w:suppressLineNumbers w:val="0"/>
              <w:spacing w:line="600" w:lineRule="auto"/>
              <w:jc w:val="center"/>
              <w:textAlignment w:val="center"/>
              <w:rPr>
                <w:rFonts w:hint="eastAsia" w:asciiTheme="minorHAnsi" w:hAnsiTheme="minorHAnsi" w:eastAsiaTheme="minorEastAsia" w:cstheme="minorBidi"/>
                <w:kern w:val="2"/>
                <w:sz w:val="22"/>
                <w:szCs w:val="24"/>
                <w:lang w:val="en-US" w:eastAsia="zh-CN" w:bidi="ar-SA"/>
              </w:rPr>
            </w:pPr>
            <w:r>
              <w:rPr>
                <w:rFonts w:hint="eastAsia" w:asciiTheme="minorHAnsi" w:hAnsiTheme="minorHAnsi" w:eastAsiaTheme="minorEastAsia" w:cstheme="minorBidi"/>
                <w:kern w:val="2"/>
                <w:sz w:val="22"/>
                <w:szCs w:val="24"/>
                <w:lang w:val="en-US" w:eastAsia="zh-CN" w:bidi="ar-SA"/>
              </w:rPr>
              <w:t>无动力跑步机</w:t>
            </w:r>
          </w:p>
        </w:tc>
        <w:tc>
          <w:tcPr>
            <w:tcW w:w="6978" w:type="dxa"/>
            <w:vAlign w:val="center"/>
          </w:tcPr>
          <w:p w14:paraId="2E328EF7">
            <w:pPr>
              <w:jc w:val="both"/>
              <w:rPr>
                <w:rFonts w:hint="default"/>
                <w:sz w:val="22"/>
                <w:szCs w:val="24"/>
                <w:lang w:val="en-US" w:eastAsia="zh-CN"/>
              </w:rPr>
            </w:pPr>
            <w:r>
              <w:rPr>
                <w:rFonts w:hint="default"/>
                <w:sz w:val="22"/>
                <w:szCs w:val="24"/>
                <w:lang w:val="en-US" w:eastAsia="zh-CN"/>
              </w:rPr>
              <w:t>1、驱动方式：重力自主驱动，额定功率 0HP、峰值马力 0HP，无需电机驱动；配置磁铁阻力制动调节组件，支持 1-8 档阻力分级调节，内置轻跑、竞走、侧步、冲刺 3 大类标准运动模式，可自由切换不同强度训练档位。</w:t>
            </w:r>
          </w:p>
          <w:p w14:paraId="78DC7B43">
            <w:pPr>
              <w:jc w:val="both"/>
              <w:rPr>
                <w:rFonts w:hint="default"/>
                <w:sz w:val="22"/>
                <w:szCs w:val="24"/>
                <w:lang w:val="en-US" w:eastAsia="zh-CN"/>
              </w:rPr>
            </w:pPr>
            <w:r>
              <w:rPr>
                <w:rFonts w:hint="default"/>
                <w:sz w:val="22"/>
                <w:szCs w:val="24"/>
                <w:lang w:val="en-US" w:eastAsia="zh-CN"/>
              </w:rPr>
              <w:t>2、速度控制：设备限速区间 0-20km/h，依靠人体发力自主调控行进速度，还原自然跑步发力状态；整机标配独立紧急停止装置，遇突发状况可快速锁止跑带，充分保障训练人员使用安全。</w:t>
            </w:r>
          </w:p>
          <w:p w14:paraId="54845C1C">
            <w:pPr>
              <w:jc w:val="both"/>
              <w:rPr>
                <w:rFonts w:hint="default"/>
                <w:sz w:val="22"/>
                <w:szCs w:val="24"/>
                <w:lang w:val="en-US" w:eastAsia="zh-CN"/>
              </w:rPr>
            </w:pPr>
            <w:r>
              <w:rPr>
                <w:rFonts w:hint="default"/>
                <w:sz w:val="22"/>
                <w:szCs w:val="24"/>
                <w:lang w:val="en-US" w:eastAsia="zh-CN"/>
              </w:rPr>
              <w:t>3、跑台跑带结构：采用非全跑台弧形曲面结构，跑带为履带式铝合金骨架材质；跑带整体尺寸 3600mm×480mm，有效跑步区域尺寸 1500mm×480mm，有效跑带宽度 48cm，骨架承重耐磨、抗形变性能优异。</w:t>
            </w:r>
          </w:p>
          <w:p w14:paraId="4170945E">
            <w:pPr>
              <w:jc w:val="both"/>
              <w:rPr>
                <w:rFonts w:hint="default"/>
                <w:sz w:val="22"/>
                <w:szCs w:val="24"/>
                <w:lang w:val="en-US" w:eastAsia="zh-CN"/>
              </w:rPr>
            </w:pPr>
            <w:r>
              <w:rPr>
                <w:rFonts w:hint="default"/>
                <w:sz w:val="22"/>
                <w:szCs w:val="24"/>
                <w:lang w:val="en-US" w:eastAsia="zh-CN"/>
              </w:rPr>
              <w:t>4、尺寸：整机外形尺寸≥2000mm×900mm×1600mm；</w:t>
            </w:r>
          </w:p>
          <w:p w14:paraId="7F0B9926">
            <w:pPr>
              <w:jc w:val="both"/>
              <w:rPr>
                <w:rFonts w:hint="default"/>
                <w:sz w:val="22"/>
                <w:szCs w:val="24"/>
                <w:lang w:val="en-US" w:eastAsia="zh-CN"/>
              </w:rPr>
            </w:pPr>
            <w:r>
              <w:rPr>
                <w:rFonts w:hint="default"/>
                <w:sz w:val="22"/>
                <w:szCs w:val="24"/>
                <w:lang w:val="en-US" w:eastAsia="zh-CN"/>
              </w:rPr>
              <w:t>5、设备配备 7 英寸以上 LED 智能显示屏，可实时同步展示运动时间、实时速度、运动距离、热量消耗四项核心运动数据；面板配置模式选择、数据重置清零、参数设置实体操作按键，操作逻辑简洁，数据测算精准直观，一键完成功能切换与参数调整。</w:t>
            </w:r>
          </w:p>
          <w:p w14:paraId="0615928D">
            <w:pPr>
              <w:jc w:val="both"/>
              <w:rPr>
                <w:rFonts w:hint="default"/>
                <w:sz w:val="22"/>
                <w:szCs w:val="24"/>
                <w:lang w:val="en-US" w:eastAsia="zh-CN"/>
              </w:rPr>
            </w:pPr>
            <w:r>
              <w:rPr>
                <w:rFonts w:hint="default"/>
                <w:sz w:val="22"/>
                <w:szCs w:val="24"/>
                <w:lang w:val="en-US" w:eastAsia="zh-CN"/>
              </w:rPr>
              <w:t>6、机身结构：一体化加厚钢制主体框架，配套一体式防护安全扶手，底部配置场地调平支撑脚与移动滚轮，便于场地移位与水平校准；</w:t>
            </w:r>
          </w:p>
        </w:tc>
      </w:tr>
      <w:tr w14:paraId="50C80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7" w:hRule="atLeast"/>
          <w:jc w:val="center"/>
        </w:trPr>
        <w:tc>
          <w:tcPr>
            <w:tcW w:w="854" w:type="dxa"/>
            <w:vAlign w:val="center"/>
          </w:tcPr>
          <w:p w14:paraId="0E85F2AC">
            <w:pPr>
              <w:pStyle w:val="9"/>
              <w:numPr>
                <w:ilvl w:val="0"/>
                <w:numId w:val="0"/>
              </w:numPr>
              <w:spacing w:line="600" w:lineRule="auto"/>
              <w:ind w:left="0" w:leftChars="0" w:firstLine="0" w:firstLineChars="0"/>
              <w:jc w:val="center"/>
              <w:rPr>
                <w:rFonts w:hint="eastAsia" w:asciiTheme="minorHAnsi" w:hAnsiTheme="minorHAnsi" w:eastAsiaTheme="minorEastAsia" w:cstheme="minorBidi"/>
                <w:kern w:val="2"/>
                <w:sz w:val="22"/>
                <w:szCs w:val="24"/>
                <w:lang w:val="en-US" w:eastAsia="zh-CN" w:bidi="ar-SA"/>
              </w:rPr>
            </w:pPr>
            <w:r>
              <w:rPr>
                <w:rFonts w:hint="eastAsia" w:asciiTheme="minorHAnsi" w:hAnsiTheme="minorHAnsi" w:eastAsiaTheme="minorEastAsia" w:cstheme="minorBidi"/>
                <w:kern w:val="2"/>
                <w:sz w:val="22"/>
                <w:szCs w:val="24"/>
                <w:lang w:val="en-US" w:eastAsia="zh-CN" w:bidi="ar-SA"/>
              </w:rPr>
              <w:t>4</w:t>
            </w:r>
          </w:p>
        </w:tc>
        <w:tc>
          <w:tcPr>
            <w:tcW w:w="1425" w:type="dxa"/>
            <w:vAlign w:val="center"/>
          </w:tcPr>
          <w:p w14:paraId="43BB6DA0">
            <w:pPr>
              <w:keepNext w:val="0"/>
              <w:keepLines w:val="0"/>
              <w:widowControl/>
              <w:suppressLineNumbers w:val="0"/>
              <w:spacing w:line="600" w:lineRule="auto"/>
              <w:jc w:val="center"/>
              <w:textAlignment w:val="center"/>
              <w:rPr>
                <w:rFonts w:hint="eastAsia" w:asciiTheme="minorHAnsi" w:hAnsiTheme="minorHAnsi" w:eastAsiaTheme="minorEastAsia" w:cstheme="minorBidi"/>
                <w:kern w:val="2"/>
                <w:sz w:val="22"/>
                <w:szCs w:val="24"/>
                <w:lang w:val="en-US" w:eastAsia="zh-CN" w:bidi="ar-SA"/>
              </w:rPr>
            </w:pPr>
            <w:r>
              <w:rPr>
                <w:rFonts w:hint="eastAsia" w:asciiTheme="minorHAnsi" w:hAnsiTheme="minorHAnsi" w:eastAsiaTheme="minorEastAsia" w:cstheme="minorBidi"/>
                <w:kern w:val="2"/>
                <w:sz w:val="22"/>
                <w:szCs w:val="24"/>
                <w:lang w:val="en-US" w:eastAsia="zh-CN" w:bidi="ar-SA"/>
              </w:rPr>
              <w:t>直插式排球柱（套装）</w:t>
            </w:r>
          </w:p>
        </w:tc>
        <w:tc>
          <w:tcPr>
            <w:tcW w:w="6978" w:type="dxa"/>
            <w:vAlign w:val="center"/>
          </w:tcPr>
          <w:p w14:paraId="0897114A">
            <w:pPr>
              <w:jc w:val="both"/>
              <w:rPr>
                <w:rFonts w:hint="default"/>
                <w:sz w:val="22"/>
                <w:szCs w:val="24"/>
                <w:lang w:val="en-US" w:eastAsia="zh-CN"/>
              </w:rPr>
            </w:pPr>
            <w:r>
              <w:rPr>
                <w:rFonts w:hint="default"/>
                <w:sz w:val="22"/>
                <w:szCs w:val="24"/>
                <w:lang w:val="en-US" w:eastAsia="zh-CN"/>
              </w:rPr>
              <w:t xml:space="preserve">直插式排球柱                                         </w:t>
            </w:r>
          </w:p>
          <w:p w14:paraId="144C674E">
            <w:pPr>
              <w:jc w:val="both"/>
              <w:rPr>
                <w:rFonts w:hint="default"/>
                <w:sz w:val="22"/>
                <w:szCs w:val="24"/>
                <w:lang w:val="en-US" w:eastAsia="zh-CN"/>
              </w:rPr>
            </w:pPr>
            <w:r>
              <w:rPr>
                <w:rFonts w:hint="default"/>
                <w:sz w:val="22"/>
                <w:szCs w:val="24"/>
                <w:lang w:val="en-US" w:eastAsia="zh-CN"/>
              </w:rPr>
              <w:t>1. 排球柱由内外立柱，紧线机构和预埋件组成。</w:t>
            </w:r>
          </w:p>
          <w:p w14:paraId="566CB3DF">
            <w:pPr>
              <w:jc w:val="both"/>
              <w:rPr>
                <w:rFonts w:hint="default"/>
                <w:sz w:val="22"/>
                <w:szCs w:val="24"/>
                <w:lang w:val="en-US" w:eastAsia="zh-CN"/>
              </w:rPr>
            </w:pPr>
            <w:r>
              <w:rPr>
                <w:rFonts w:hint="default"/>
                <w:sz w:val="22"/>
                <w:szCs w:val="24"/>
                <w:lang w:val="en-US" w:eastAsia="zh-CN"/>
              </w:rPr>
              <w:t xml:space="preserve">2. 排球柱外立柱选用φ76×5的优质无缝管，内立柱选用φ65×5光亮管制作，外立柱内置一对互成90度的斜齿轮，配合螺纹的螺杆升降机构，通过摇动升降手柄，使内立柱上下移动，实现网高调节高度：1920~2550mm。 </w:t>
            </w:r>
          </w:p>
          <w:p w14:paraId="73EB4071">
            <w:pPr>
              <w:jc w:val="both"/>
              <w:rPr>
                <w:rFonts w:hint="default"/>
                <w:sz w:val="22"/>
                <w:szCs w:val="24"/>
                <w:lang w:val="en-US" w:eastAsia="zh-CN"/>
              </w:rPr>
            </w:pPr>
            <w:r>
              <w:rPr>
                <w:rFonts w:hint="default"/>
                <w:sz w:val="22"/>
                <w:szCs w:val="24"/>
                <w:lang w:val="en-US" w:eastAsia="zh-CN"/>
              </w:rPr>
              <w:t>3. 外立柱中，一立柱外侧置有网钩，绳系在网钩上，另一立柱上外侧置有紧线锁紧机构，此机构是采用蜗轮蜗杆传动原理，具有结构紧凑，承载能里大，工作平稳，可以自锁（起到安全保护作用）等优点。通过调节锁紧手柄，可调节钢丝绳的松紧，确保钢丝绳牢固拉紧，并实现网的高度要求。</w:t>
            </w:r>
          </w:p>
          <w:p w14:paraId="7B49E936">
            <w:pPr>
              <w:jc w:val="both"/>
              <w:rPr>
                <w:rFonts w:hint="default"/>
                <w:sz w:val="22"/>
                <w:szCs w:val="24"/>
                <w:lang w:val="en-US" w:eastAsia="zh-CN"/>
              </w:rPr>
            </w:pPr>
            <w:r>
              <w:rPr>
                <w:rFonts w:hint="default"/>
                <w:sz w:val="22"/>
                <w:szCs w:val="24"/>
                <w:lang w:val="en-US" w:eastAsia="zh-CN"/>
              </w:rPr>
              <w:t>4. 球网被拉紧时，网柱能稳固地与地面保持垂直，立柱轴线对水平面的垂直公差≤1/500，且网柱各部位均不侵入场地内边线的垂直线内。</w:t>
            </w:r>
          </w:p>
          <w:p w14:paraId="44DDEF6F">
            <w:pPr>
              <w:jc w:val="both"/>
              <w:rPr>
                <w:rFonts w:hint="default"/>
                <w:sz w:val="22"/>
                <w:szCs w:val="24"/>
                <w:lang w:val="en-US" w:eastAsia="zh-CN"/>
              </w:rPr>
            </w:pPr>
            <w:r>
              <w:rPr>
                <w:rFonts w:hint="default"/>
                <w:sz w:val="22"/>
                <w:szCs w:val="24"/>
                <w:lang w:val="en-US" w:eastAsia="zh-CN"/>
              </w:rPr>
              <w:t>5. 排球柱外立柱底部设有特制缓冲垫，与预埋件相配时起缓冲作用，能有效延长预埋件及立柱的使用寿命。</w:t>
            </w:r>
          </w:p>
          <w:p w14:paraId="07369A89">
            <w:pPr>
              <w:jc w:val="both"/>
              <w:rPr>
                <w:rFonts w:hint="default"/>
                <w:sz w:val="22"/>
                <w:szCs w:val="24"/>
                <w:lang w:val="en-US" w:eastAsia="zh-CN"/>
              </w:rPr>
            </w:pPr>
            <w:r>
              <w:rPr>
                <w:rFonts w:hint="default"/>
                <w:sz w:val="22"/>
                <w:szCs w:val="24"/>
                <w:lang w:val="en-US" w:eastAsia="zh-CN"/>
              </w:rPr>
              <w:t>6.排球柱外表包裹EVA模压成形防护套，能有效保护好运动员的安全</w:t>
            </w:r>
          </w:p>
          <w:p w14:paraId="34480162">
            <w:pPr>
              <w:jc w:val="both"/>
              <w:rPr>
                <w:rFonts w:hint="default"/>
                <w:sz w:val="22"/>
                <w:szCs w:val="24"/>
                <w:lang w:val="en-US" w:eastAsia="zh-CN"/>
              </w:rPr>
            </w:pPr>
            <w:r>
              <w:rPr>
                <w:rFonts w:hint="default"/>
                <w:sz w:val="22"/>
                <w:szCs w:val="24"/>
                <w:lang w:val="en-US" w:eastAsia="zh-CN"/>
              </w:rPr>
              <w:t>7. 喷涂工件的表面处理分二个阶段，前处理阶段使工件获得质量优良的介质层，增加防锈涂膜与金属基体的结合力，是提高产品表面处理能力的必备基础措施。表面处理阶段是将粉末通过高压静电作用均匀涂敷在被涂物体上的过程。当涂层达到一定厚度后，进入烘炉加热，涂料熔融固化，形成厚度均匀、质地牢固的涂层。本公司产品所有器材均在全自动喷涂流水线上作业，经抛丸--脱脂--水洗--无磷转化--水洗--烘干--静电粉末--固化等过程。产品涂层厚度70-80um，铅笔硬度达3H+。产品具有耐酸碱、耐湿热、抗老化、外观美观等优点，能适合潮湿和酸雨环境，且前处理过程以及产品涂料配方均不含有毒元素，避免损害使用者的健康。</w:t>
            </w:r>
          </w:p>
          <w:p w14:paraId="261D41C6">
            <w:pPr>
              <w:jc w:val="both"/>
              <w:rPr>
                <w:rFonts w:hint="default"/>
                <w:sz w:val="22"/>
                <w:szCs w:val="24"/>
                <w:lang w:val="en-US" w:eastAsia="zh-CN"/>
              </w:rPr>
            </w:pPr>
            <w:r>
              <w:rPr>
                <w:rFonts w:hint="default"/>
                <w:sz w:val="22"/>
                <w:szCs w:val="24"/>
                <w:lang w:val="en-US" w:eastAsia="zh-CN"/>
              </w:rPr>
              <w:t xml:space="preserve">直插式排球柱护套                                     </w:t>
            </w:r>
          </w:p>
          <w:p w14:paraId="01735D01">
            <w:pPr>
              <w:jc w:val="both"/>
              <w:rPr>
                <w:rFonts w:hint="default"/>
                <w:sz w:val="22"/>
                <w:szCs w:val="24"/>
                <w:lang w:val="en-US" w:eastAsia="zh-CN"/>
              </w:rPr>
            </w:pPr>
            <w:r>
              <w:rPr>
                <w:rFonts w:hint="default"/>
                <w:sz w:val="22"/>
                <w:szCs w:val="24"/>
                <w:lang w:val="en-US" w:eastAsia="zh-CN"/>
              </w:rPr>
              <w:t>1、排球柱护套规格：长2050mm。</w:t>
            </w:r>
          </w:p>
          <w:p w14:paraId="617505D5">
            <w:pPr>
              <w:jc w:val="both"/>
              <w:rPr>
                <w:rFonts w:hint="default"/>
                <w:sz w:val="22"/>
                <w:szCs w:val="24"/>
                <w:lang w:val="en-US" w:eastAsia="zh-CN"/>
              </w:rPr>
            </w:pPr>
            <w:r>
              <w:rPr>
                <w:rFonts w:hint="default"/>
                <w:sz w:val="22"/>
                <w:szCs w:val="24"/>
                <w:lang w:val="en-US" w:eastAsia="zh-CN"/>
              </w:rPr>
              <w:t>2、排球柱护套材料：聚氨酯组合料，厚度、强度适中，缓冲性能好。</w:t>
            </w:r>
          </w:p>
          <w:p w14:paraId="4F70E9C2">
            <w:pPr>
              <w:jc w:val="both"/>
              <w:rPr>
                <w:rFonts w:hint="default"/>
                <w:sz w:val="22"/>
                <w:szCs w:val="24"/>
                <w:lang w:val="en-US" w:eastAsia="zh-CN"/>
              </w:rPr>
            </w:pPr>
            <w:r>
              <w:rPr>
                <w:rFonts w:hint="default"/>
                <w:sz w:val="22"/>
                <w:szCs w:val="24"/>
                <w:lang w:val="en-US" w:eastAsia="zh-CN"/>
              </w:rPr>
              <w:t>3、工艺：模压成形。</w:t>
            </w:r>
          </w:p>
          <w:p w14:paraId="573061FD">
            <w:pPr>
              <w:jc w:val="both"/>
              <w:rPr>
                <w:rFonts w:hint="default"/>
                <w:sz w:val="22"/>
                <w:szCs w:val="24"/>
                <w:lang w:val="en-US" w:eastAsia="zh-CN"/>
              </w:rPr>
            </w:pPr>
            <w:r>
              <w:rPr>
                <w:rFonts w:hint="default"/>
                <w:sz w:val="22"/>
                <w:szCs w:val="24"/>
                <w:lang w:val="en-US" w:eastAsia="zh-CN"/>
              </w:rPr>
              <w:t xml:space="preserve">4、颜色：蓝色，色泽鲜亮。 </w:t>
            </w:r>
          </w:p>
          <w:p w14:paraId="1FEDD7AA">
            <w:pPr>
              <w:jc w:val="both"/>
              <w:rPr>
                <w:rFonts w:hint="default"/>
                <w:sz w:val="22"/>
                <w:szCs w:val="24"/>
                <w:lang w:val="en-US" w:eastAsia="zh-CN"/>
              </w:rPr>
            </w:pPr>
            <w:r>
              <w:rPr>
                <w:rFonts w:hint="default"/>
                <w:sz w:val="22"/>
                <w:szCs w:val="24"/>
                <w:lang w:val="en-US" w:eastAsia="zh-CN"/>
              </w:rPr>
              <w:t>5、安装：一副护套2组，2片/组，采用带有刺毛毡的绑带固定，包含同品牌排球网、绑带。</w:t>
            </w:r>
          </w:p>
          <w:p w14:paraId="0F0E34CB">
            <w:pPr>
              <w:jc w:val="both"/>
              <w:rPr>
                <w:rFonts w:hint="default"/>
                <w:sz w:val="22"/>
                <w:szCs w:val="24"/>
                <w:lang w:val="en-US" w:eastAsia="zh-CN"/>
              </w:rPr>
            </w:pPr>
            <w:r>
              <w:rPr>
                <w:rFonts w:hint="default"/>
                <w:sz w:val="22"/>
                <w:szCs w:val="24"/>
                <w:lang w:val="en-US" w:eastAsia="zh-CN"/>
              </w:rPr>
              <w:t xml:space="preserve">直插式排球柱预埋件                                </w:t>
            </w:r>
          </w:p>
          <w:p w14:paraId="2FCEA1E5">
            <w:pPr>
              <w:jc w:val="both"/>
              <w:rPr>
                <w:rFonts w:hint="default"/>
                <w:sz w:val="22"/>
                <w:szCs w:val="24"/>
                <w:lang w:val="en-US" w:eastAsia="zh-CN"/>
              </w:rPr>
            </w:pPr>
            <w:r>
              <w:rPr>
                <w:rFonts w:hint="default"/>
                <w:sz w:val="22"/>
                <w:szCs w:val="24"/>
                <w:lang w:val="en-US" w:eastAsia="zh-CN"/>
              </w:rPr>
              <w:t>1、预埋件规格：高350mm。</w:t>
            </w:r>
          </w:p>
          <w:p w14:paraId="3995BBDE">
            <w:pPr>
              <w:jc w:val="both"/>
              <w:rPr>
                <w:rFonts w:hint="default"/>
                <w:sz w:val="22"/>
                <w:szCs w:val="24"/>
                <w:lang w:val="en-US" w:eastAsia="zh-CN"/>
              </w:rPr>
            </w:pPr>
            <w:r>
              <w:rPr>
                <w:rFonts w:hint="default"/>
                <w:sz w:val="22"/>
                <w:szCs w:val="24"/>
                <w:lang w:val="en-US" w:eastAsia="zh-CN"/>
              </w:rPr>
              <w:t>2、预埋件由预埋件盖板、预埋管件和连接管组成。</w:t>
            </w:r>
          </w:p>
          <w:p w14:paraId="39077AB1">
            <w:pPr>
              <w:jc w:val="both"/>
              <w:rPr>
                <w:rFonts w:hint="default"/>
                <w:sz w:val="22"/>
                <w:szCs w:val="24"/>
                <w:lang w:val="en-US" w:eastAsia="zh-CN"/>
              </w:rPr>
            </w:pPr>
            <w:r>
              <w:rPr>
                <w:rFonts w:hint="default"/>
                <w:sz w:val="22"/>
                <w:szCs w:val="24"/>
                <w:lang w:val="en-US" w:eastAsia="zh-CN"/>
              </w:rPr>
              <w:t>3、预埋件盖板为铝铸件，造型精致美观，可翻转，操作简便。</w:t>
            </w:r>
          </w:p>
          <w:p w14:paraId="77624B74">
            <w:pPr>
              <w:jc w:val="both"/>
              <w:rPr>
                <w:rFonts w:hint="default"/>
                <w:sz w:val="22"/>
                <w:szCs w:val="24"/>
                <w:lang w:val="en-US" w:eastAsia="zh-CN"/>
              </w:rPr>
            </w:pPr>
            <w:r>
              <w:rPr>
                <w:rFonts w:hint="default"/>
                <w:sz w:val="22"/>
                <w:szCs w:val="24"/>
                <w:lang w:val="en-US" w:eastAsia="zh-CN"/>
              </w:rPr>
              <w:t>4、预埋管件采用∅84x3.5圆管制作，管件上法兰采用不锈钢板冲压成型制作，管件上端设有盖板专用放置盒，使用方便。</w:t>
            </w:r>
          </w:p>
          <w:p w14:paraId="4125D544">
            <w:pPr>
              <w:jc w:val="both"/>
              <w:rPr>
                <w:rFonts w:hint="default"/>
                <w:sz w:val="22"/>
                <w:szCs w:val="24"/>
                <w:lang w:val="en-US" w:eastAsia="zh-CN"/>
              </w:rPr>
            </w:pPr>
            <w:r>
              <w:rPr>
                <w:rFonts w:hint="default"/>
                <w:sz w:val="22"/>
                <w:szCs w:val="24"/>
                <w:lang w:val="en-US" w:eastAsia="zh-CN"/>
              </w:rPr>
              <w:t>5、预埋件连接管为不锈钢圆管，通过十字槽沉头螺钉将盖板和预埋管件连接。</w:t>
            </w:r>
          </w:p>
          <w:p w14:paraId="2E280FDE">
            <w:pPr>
              <w:jc w:val="both"/>
              <w:rPr>
                <w:rFonts w:hint="default"/>
                <w:sz w:val="22"/>
                <w:szCs w:val="24"/>
                <w:lang w:val="en-US" w:eastAsia="zh-CN"/>
              </w:rPr>
            </w:pPr>
            <w:r>
              <w:rPr>
                <w:rFonts w:hint="default"/>
                <w:sz w:val="22"/>
                <w:szCs w:val="24"/>
                <w:lang w:val="en-US" w:eastAsia="zh-CN"/>
              </w:rPr>
              <w:t>6、预埋件整体设计独特，盖板调节螺丝可满足预埋高度偏差微调。</w:t>
            </w:r>
          </w:p>
          <w:p w14:paraId="4EAB33A7">
            <w:pPr>
              <w:jc w:val="both"/>
              <w:rPr>
                <w:rFonts w:hint="default"/>
                <w:sz w:val="22"/>
                <w:szCs w:val="24"/>
                <w:lang w:val="en-US" w:eastAsia="zh-CN"/>
              </w:rPr>
            </w:pPr>
            <w:r>
              <w:rPr>
                <w:rFonts w:hint="default"/>
                <w:sz w:val="22"/>
                <w:szCs w:val="24"/>
                <w:lang w:val="en-US" w:eastAsia="zh-CN"/>
              </w:rPr>
              <w:t xml:space="preserve">排球标志杆                                       </w:t>
            </w:r>
          </w:p>
          <w:p w14:paraId="6CE54DB9">
            <w:pPr>
              <w:jc w:val="both"/>
              <w:rPr>
                <w:rFonts w:hint="default"/>
                <w:sz w:val="22"/>
                <w:szCs w:val="24"/>
                <w:lang w:val="en-US" w:eastAsia="zh-CN"/>
              </w:rPr>
            </w:pPr>
            <w:r>
              <w:rPr>
                <w:rFonts w:hint="default"/>
                <w:sz w:val="22"/>
                <w:szCs w:val="24"/>
                <w:lang w:val="en-US" w:eastAsia="zh-CN"/>
              </w:rPr>
              <w:t>1、排球标志杆规格：直径φ10mm，长1800mm；</w:t>
            </w:r>
          </w:p>
          <w:p w14:paraId="3AB60B76">
            <w:pPr>
              <w:jc w:val="both"/>
              <w:rPr>
                <w:rFonts w:hint="default"/>
                <w:sz w:val="22"/>
                <w:szCs w:val="24"/>
                <w:lang w:val="en-US" w:eastAsia="zh-CN"/>
              </w:rPr>
            </w:pPr>
            <w:r>
              <w:rPr>
                <w:rFonts w:hint="default"/>
                <w:sz w:val="22"/>
                <w:szCs w:val="24"/>
                <w:lang w:val="en-US" w:eastAsia="zh-CN"/>
              </w:rPr>
              <w:t>2、标志杆上设有上下固定件，上部固定件处设有限位机构，方便挂于球网上沿包边处，下部固定件处设有锁紧机构和固定把手，便于将球网下沿包边卡紧锁牢。</w:t>
            </w:r>
          </w:p>
          <w:p w14:paraId="017CB180">
            <w:pPr>
              <w:jc w:val="both"/>
              <w:rPr>
                <w:rFonts w:hint="default"/>
                <w:sz w:val="22"/>
                <w:szCs w:val="24"/>
                <w:lang w:val="en-US" w:eastAsia="zh-CN"/>
              </w:rPr>
            </w:pPr>
            <w:r>
              <w:rPr>
                <w:rFonts w:hint="default"/>
                <w:sz w:val="22"/>
                <w:szCs w:val="24"/>
                <w:lang w:val="en-US" w:eastAsia="zh-CN"/>
              </w:rPr>
              <w:t xml:space="preserve">排球网标志带                                     </w:t>
            </w:r>
          </w:p>
          <w:p w14:paraId="44D93A67">
            <w:pPr>
              <w:jc w:val="both"/>
              <w:rPr>
                <w:rFonts w:hint="default"/>
                <w:sz w:val="22"/>
                <w:szCs w:val="24"/>
                <w:lang w:val="en-US" w:eastAsia="zh-CN"/>
              </w:rPr>
            </w:pPr>
            <w:r>
              <w:rPr>
                <w:rFonts w:hint="default"/>
                <w:sz w:val="22"/>
                <w:szCs w:val="24"/>
                <w:lang w:val="en-US" w:eastAsia="zh-CN"/>
              </w:rPr>
              <w:t>1、规格： 长1000mm，宽50mm。</w:t>
            </w:r>
          </w:p>
          <w:p w14:paraId="2FF61B5D">
            <w:pPr>
              <w:jc w:val="both"/>
              <w:rPr>
                <w:rFonts w:hint="default"/>
                <w:sz w:val="22"/>
                <w:szCs w:val="24"/>
                <w:lang w:val="en-US" w:eastAsia="zh-CN"/>
              </w:rPr>
            </w:pPr>
            <w:r>
              <w:rPr>
                <w:rFonts w:hint="default"/>
                <w:sz w:val="22"/>
                <w:szCs w:val="24"/>
                <w:lang w:val="en-US" w:eastAsia="zh-CN"/>
              </w:rPr>
              <w:t>2、材质：白色PVC布。</w:t>
            </w:r>
          </w:p>
          <w:p w14:paraId="0869755C">
            <w:pPr>
              <w:jc w:val="both"/>
              <w:rPr>
                <w:rFonts w:hint="default"/>
                <w:sz w:val="22"/>
                <w:szCs w:val="24"/>
                <w:lang w:val="en-US" w:eastAsia="zh-CN"/>
              </w:rPr>
            </w:pPr>
            <w:r>
              <w:rPr>
                <w:rFonts w:hint="default"/>
                <w:sz w:val="22"/>
                <w:szCs w:val="24"/>
                <w:lang w:val="en-US" w:eastAsia="zh-CN"/>
              </w:rPr>
              <w:t>3、数量：2条/副。</w:t>
            </w:r>
          </w:p>
        </w:tc>
      </w:tr>
      <w:tr w14:paraId="19BCD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atLeast"/>
          <w:jc w:val="center"/>
        </w:trPr>
        <w:tc>
          <w:tcPr>
            <w:tcW w:w="854" w:type="dxa"/>
            <w:vAlign w:val="center"/>
          </w:tcPr>
          <w:p w14:paraId="27FA785F">
            <w:pPr>
              <w:pStyle w:val="9"/>
              <w:numPr>
                <w:ilvl w:val="0"/>
                <w:numId w:val="0"/>
              </w:numPr>
              <w:spacing w:line="600" w:lineRule="auto"/>
              <w:ind w:left="0" w:leftChars="0" w:firstLine="0" w:firstLineChars="0"/>
              <w:jc w:val="center"/>
              <w:rPr>
                <w:rFonts w:hint="eastAsia" w:asciiTheme="minorHAnsi" w:hAnsiTheme="minorHAnsi" w:eastAsiaTheme="minorEastAsia" w:cstheme="minorBidi"/>
                <w:kern w:val="2"/>
                <w:sz w:val="22"/>
                <w:szCs w:val="24"/>
                <w:lang w:val="en-US" w:eastAsia="zh-CN" w:bidi="ar-SA"/>
              </w:rPr>
            </w:pPr>
            <w:r>
              <w:rPr>
                <w:rFonts w:hint="eastAsia" w:asciiTheme="minorHAnsi" w:hAnsiTheme="minorHAnsi" w:eastAsiaTheme="minorEastAsia" w:cstheme="minorBidi"/>
                <w:kern w:val="2"/>
                <w:sz w:val="22"/>
                <w:szCs w:val="24"/>
                <w:lang w:val="en-US" w:eastAsia="zh-CN" w:bidi="ar-SA"/>
              </w:rPr>
              <w:t>5</w:t>
            </w:r>
          </w:p>
        </w:tc>
        <w:tc>
          <w:tcPr>
            <w:tcW w:w="1425" w:type="dxa"/>
            <w:vAlign w:val="center"/>
          </w:tcPr>
          <w:p w14:paraId="4EE8AAE7">
            <w:pPr>
              <w:keepNext w:val="0"/>
              <w:keepLines w:val="0"/>
              <w:widowControl/>
              <w:suppressLineNumbers w:val="0"/>
              <w:spacing w:line="600" w:lineRule="auto"/>
              <w:jc w:val="center"/>
              <w:textAlignment w:val="center"/>
              <w:rPr>
                <w:rFonts w:hint="eastAsia" w:asciiTheme="minorHAnsi" w:hAnsiTheme="minorHAnsi" w:eastAsiaTheme="minorEastAsia" w:cstheme="minorBidi"/>
                <w:kern w:val="2"/>
                <w:sz w:val="22"/>
                <w:szCs w:val="24"/>
                <w:lang w:val="en-US" w:eastAsia="zh-CN" w:bidi="ar-SA"/>
              </w:rPr>
            </w:pPr>
            <w:r>
              <w:rPr>
                <w:rFonts w:hint="eastAsia" w:asciiTheme="minorHAnsi" w:hAnsiTheme="minorHAnsi" w:eastAsiaTheme="minorEastAsia" w:cstheme="minorBidi"/>
                <w:kern w:val="2"/>
                <w:sz w:val="22"/>
                <w:szCs w:val="24"/>
                <w:lang w:val="en-US" w:eastAsia="zh-CN" w:bidi="ar-SA"/>
              </w:rPr>
              <w:t>数据心率背心</w:t>
            </w:r>
          </w:p>
        </w:tc>
        <w:tc>
          <w:tcPr>
            <w:tcW w:w="6978" w:type="dxa"/>
            <w:vAlign w:val="center"/>
          </w:tcPr>
          <w:p w14:paraId="27290E41">
            <w:pPr>
              <w:keepNext w:val="0"/>
              <w:keepLines w:val="0"/>
              <w:widowControl/>
              <w:suppressLineNumbers w:val="0"/>
              <w:jc w:val="both"/>
              <w:rPr>
                <w:rFonts w:hint="default"/>
                <w:sz w:val="22"/>
                <w:szCs w:val="24"/>
                <w:lang w:val="en-US" w:eastAsia="zh-CN"/>
              </w:rPr>
            </w:pPr>
            <w:r>
              <w:rPr>
                <w:rFonts w:hint="default"/>
                <w:sz w:val="22"/>
                <w:szCs w:val="24"/>
                <w:lang w:val="en-US" w:eastAsia="zh-CN"/>
              </w:rPr>
              <w:t>1、尺码：青少年YS、YM、YL，成人S、M、L、XL；</w:t>
            </w:r>
          </w:p>
          <w:p w14:paraId="4E4DBD34">
            <w:pPr>
              <w:keepNext w:val="0"/>
              <w:keepLines w:val="0"/>
              <w:widowControl/>
              <w:suppressLineNumbers w:val="0"/>
              <w:jc w:val="both"/>
              <w:rPr>
                <w:rFonts w:hint="default"/>
                <w:sz w:val="22"/>
                <w:szCs w:val="24"/>
                <w:lang w:val="en-US" w:eastAsia="zh-CN"/>
              </w:rPr>
            </w:pPr>
            <w:r>
              <w:rPr>
                <w:rFonts w:hint="default"/>
                <w:sz w:val="22"/>
                <w:szCs w:val="24"/>
                <w:lang w:val="en-US" w:eastAsia="zh-CN"/>
              </w:rPr>
              <w:t>2、材质：锦纶徕卡速干面料，柔性金属纤维心率电极片；</w:t>
            </w:r>
          </w:p>
          <w:p w14:paraId="13EFEBB8">
            <w:pPr>
              <w:keepNext w:val="0"/>
              <w:keepLines w:val="0"/>
              <w:widowControl/>
              <w:suppressLineNumbers w:val="0"/>
              <w:jc w:val="both"/>
              <w:rPr>
                <w:rFonts w:hint="default"/>
                <w:sz w:val="22"/>
                <w:szCs w:val="24"/>
                <w:lang w:val="en-US" w:eastAsia="zh-CN"/>
              </w:rPr>
            </w:pPr>
            <w:r>
              <w:rPr>
                <w:rFonts w:hint="default"/>
                <w:sz w:val="22"/>
                <w:szCs w:val="24"/>
                <w:lang w:val="en-US" w:eastAsia="zh-CN"/>
              </w:rPr>
              <w:t>3、一体化集成内置心率导线，无需再外接心率带；</w:t>
            </w:r>
          </w:p>
          <w:p w14:paraId="122AB9E3">
            <w:pPr>
              <w:keepNext w:val="0"/>
              <w:keepLines w:val="0"/>
              <w:widowControl/>
              <w:suppressLineNumbers w:val="0"/>
              <w:jc w:val="both"/>
              <w:rPr>
                <w:rFonts w:hint="default"/>
                <w:sz w:val="22"/>
                <w:szCs w:val="24"/>
                <w:lang w:val="en-US" w:eastAsia="zh-CN"/>
              </w:rPr>
            </w:pPr>
            <w:r>
              <w:rPr>
                <w:rFonts w:hint="default"/>
                <w:sz w:val="22"/>
                <w:szCs w:val="24"/>
                <w:lang w:val="en-US" w:eastAsia="zh-CN"/>
              </w:rPr>
              <w:t>4、魔术粘设计，可自由调节松紧舒适度；</w:t>
            </w:r>
          </w:p>
        </w:tc>
      </w:tr>
      <w:tr w14:paraId="383BE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atLeast"/>
          <w:jc w:val="center"/>
        </w:trPr>
        <w:tc>
          <w:tcPr>
            <w:tcW w:w="854" w:type="dxa"/>
            <w:vAlign w:val="center"/>
          </w:tcPr>
          <w:p w14:paraId="340A9506">
            <w:pPr>
              <w:pStyle w:val="9"/>
              <w:numPr>
                <w:ilvl w:val="0"/>
                <w:numId w:val="0"/>
              </w:numPr>
              <w:spacing w:line="600" w:lineRule="auto"/>
              <w:ind w:left="0" w:leftChars="0" w:firstLine="0" w:firstLineChars="0"/>
              <w:jc w:val="center"/>
              <w:rPr>
                <w:rFonts w:hint="default" w:asciiTheme="minorHAnsi" w:hAnsiTheme="minorHAnsi" w:eastAsiaTheme="minorEastAsia" w:cstheme="minorBidi"/>
                <w:kern w:val="2"/>
                <w:sz w:val="22"/>
                <w:szCs w:val="24"/>
                <w:lang w:val="en-US" w:eastAsia="zh-CN" w:bidi="ar-SA"/>
              </w:rPr>
            </w:pPr>
            <w:r>
              <w:rPr>
                <w:rFonts w:hint="eastAsia" w:cstheme="minorBidi"/>
                <w:kern w:val="2"/>
                <w:sz w:val="22"/>
                <w:szCs w:val="24"/>
                <w:lang w:val="en-US" w:eastAsia="zh-CN" w:bidi="ar-SA"/>
              </w:rPr>
              <w:t>6</w:t>
            </w:r>
          </w:p>
        </w:tc>
        <w:tc>
          <w:tcPr>
            <w:tcW w:w="1425" w:type="dxa"/>
            <w:vAlign w:val="center"/>
          </w:tcPr>
          <w:p w14:paraId="652BCD0D">
            <w:pPr>
              <w:keepNext w:val="0"/>
              <w:keepLines w:val="0"/>
              <w:widowControl/>
              <w:suppressLineNumbers w:val="0"/>
              <w:spacing w:line="600" w:lineRule="auto"/>
              <w:jc w:val="center"/>
              <w:textAlignment w:val="center"/>
              <w:rPr>
                <w:rFonts w:hint="eastAsia" w:asciiTheme="minorHAnsi" w:hAnsiTheme="minorHAnsi" w:eastAsiaTheme="minorEastAsia" w:cstheme="minorBidi"/>
                <w:kern w:val="2"/>
                <w:sz w:val="22"/>
                <w:szCs w:val="24"/>
                <w:lang w:val="en-US" w:eastAsia="zh-CN" w:bidi="ar-SA"/>
              </w:rPr>
            </w:pPr>
            <w:r>
              <w:rPr>
                <w:rFonts w:hint="eastAsia" w:asciiTheme="minorHAnsi" w:hAnsiTheme="minorHAnsi" w:eastAsiaTheme="minorEastAsia" w:cstheme="minorBidi"/>
                <w:kern w:val="2"/>
                <w:sz w:val="22"/>
                <w:szCs w:val="24"/>
                <w:lang w:val="en-US" w:eastAsia="zh-CN" w:bidi="ar-SA"/>
              </w:rPr>
              <w:t>追踪器</w:t>
            </w:r>
          </w:p>
        </w:tc>
        <w:tc>
          <w:tcPr>
            <w:tcW w:w="6978" w:type="dxa"/>
            <w:vAlign w:val="center"/>
          </w:tcPr>
          <w:p w14:paraId="7B8CDA36">
            <w:pPr>
              <w:keepNext w:val="0"/>
              <w:keepLines w:val="0"/>
              <w:widowControl/>
              <w:suppressLineNumbers w:val="0"/>
              <w:jc w:val="both"/>
              <w:rPr>
                <w:rFonts w:hint="default"/>
                <w:sz w:val="22"/>
                <w:szCs w:val="24"/>
                <w:lang w:val="en-US" w:eastAsia="zh-CN"/>
              </w:rPr>
            </w:pPr>
            <w:r>
              <w:rPr>
                <w:rFonts w:hint="default"/>
                <w:sz w:val="22"/>
                <w:szCs w:val="24"/>
                <w:lang w:val="en-US" w:eastAsia="zh-CN"/>
              </w:rPr>
              <w:t>一、数据追踪器</w:t>
            </w:r>
          </w:p>
          <w:p w14:paraId="763847C2">
            <w:pPr>
              <w:keepNext w:val="0"/>
              <w:keepLines w:val="0"/>
              <w:widowControl/>
              <w:suppressLineNumbers w:val="0"/>
              <w:jc w:val="both"/>
              <w:rPr>
                <w:rFonts w:hint="default"/>
                <w:sz w:val="22"/>
                <w:szCs w:val="24"/>
                <w:lang w:val="en-US" w:eastAsia="zh-CN"/>
              </w:rPr>
            </w:pPr>
            <w:r>
              <w:rPr>
                <w:rFonts w:hint="default"/>
                <w:sz w:val="22"/>
                <w:szCs w:val="24"/>
                <w:lang w:val="en-US" w:eastAsia="zh-CN"/>
              </w:rPr>
              <w:t>1、心率数据一体化集成，无需外接心率追踪器搜集心率数据；</w:t>
            </w:r>
          </w:p>
          <w:p w14:paraId="485CAC06">
            <w:pPr>
              <w:keepNext w:val="0"/>
              <w:keepLines w:val="0"/>
              <w:widowControl/>
              <w:suppressLineNumbers w:val="0"/>
              <w:jc w:val="both"/>
              <w:rPr>
                <w:rFonts w:hint="default"/>
                <w:sz w:val="22"/>
                <w:szCs w:val="24"/>
                <w:lang w:val="en-US" w:eastAsia="zh-CN"/>
              </w:rPr>
            </w:pPr>
            <w:r>
              <w:rPr>
                <w:rFonts w:hint="default"/>
                <w:sz w:val="22"/>
                <w:szCs w:val="24"/>
                <w:lang w:val="en-US" w:eastAsia="zh-CN"/>
              </w:rPr>
              <w:t>2、尺寸：≤80*45*19mm；</w:t>
            </w:r>
          </w:p>
          <w:p w14:paraId="002E7486">
            <w:pPr>
              <w:keepNext w:val="0"/>
              <w:keepLines w:val="0"/>
              <w:widowControl/>
              <w:suppressLineNumbers w:val="0"/>
              <w:jc w:val="both"/>
              <w:rPr>
                <w:rFonts w:hint="default"/>
                <w:sz w:val="22"/>
                <w:szCs w:val="24"/>
                <w:lang w:val="en-US" w:eastAsia="zh-CN"/>
              </w:rPr>
            </w:pPr>
            <w:r>
              <w:rPr>
                <w:rFonts w:hint="default"/>
                <w:sz w:val="22"/>
                <w:szCs w:val="24"/>
                <w:lang w:val="en-US" w:eastAsia="zh-CN"/>
              </w:rPr>
              <w:t>3、重量：≤55g；</w:t>
            </w:r>
          </w:p>
          <w:p w14:paraId="51EC68B1">
            <w:pPr>
              <w:keepNext w:val="0"/>
              <w:keepLines w:val="0"/>
              <w:widowControl/>
              <w:suppressLineNumbers w:val="0"/>
              <w:jc w:val="both"/>
              <w:rPr>
                <w:rFonts w:hint="default"/>
                <w:sz w:val="22"/>
                <w:szCs w:val="24"/>
                <w:lang w:val="en-US" w:eastAsia="zh-CN"/>
              </w:rPr>
            </w:pPr>
            <w:r>
              <w:rPr>
                <w:rFonts w:hint="default"/>
                <w:sz w:val="22"/>
                <w:szCs w:val="24"/>
                <w:lang w:val="en-US" w:eastAsia="zh-CN"/>
              </w:rPr>
              <w:t>4、定位方式：双频五星卫星定位，频率：≥10Hz ；</w:t>
            </w:r>
          </w:p>
          <w:p w14:paraId="6BC26E19">
            <w:pPr>
              <w:keepNext w:val="0"/>
              <w:keepLines w:val="0"/>
              <w:widowControl/>
              <w:suppressLineNumbers w:val="0"/>
              <w:jc w:val="both"/>
              <w:rPr>
                <w:rFonts w:hint="default"/>
                <w:sz w:val="22"/>
                <w:szCs w:val="24"/>
                <w:lang w:val="en-US" w:eastAsia="zh-CN"/>
              </w:rPr>
            </w:pPr>
            <w:r>
              <w:rPr>
                <w:rFonts w:hint="default"/>
                <w:sz w:val="22"/>
                <w:szCs w:val="24"/>
                <w:lang w:val="en-US" w:eastAsia="zh-CN"/>
              </w:rPr>
              <w:t>5、传感器：6轴IMU惯性传感器，频率：≥100Hz；</w:t>
            </w:r>
          </w:p>
          <w:p w14:paraId="7D9BB358">
            <w:pPr>
              <w:keepNext w:val="0"/>
              <w:keepLines w:val="0"/>
              <w:widowControl/>
              <w:suppressLineNumbers w:val="0"/>
              <w:jc w:val="both"/>
              <w:rPr>
                <w:rFonts w:hint="default"/>
                <w:sz w:val="22"/>
                <w:szCs w:val="24"/>
                <w:lang w:val="en-US" w:eastAsia="zh-CN"/>
              </w:rPr>
            </w:pPr>
            <w:r>
              <w:rPr>
                <w:rFonts w:hint="default"/>
                <w:sz w:val="22"/>
                <w:szCs w:val="24"/>
                <w:lang w:val="en-US" w:eastAsia="zh-CN"/>
              </w:rPr>
              <w:t>6、心率：ECG心电图采集数据；</w:t>
            </w:r>
          </w:p>
          <w:p w14:paraId="7F4ED6D8">
            <w:pPr>
              <w:keepNext w:val="0"/>
              <w:keepLines w:val="0"/>
              <w:widowControl/>
              <w:suppressLineNumbers w:val="0"/>
              <w:jc w:val="both"/>
              <w:rPr>
                <w:rFonts w:hint="default"/>
                <w:sz w:val="22"/>
                <w:szCs w:val="24"/>
                <w:lang w:val="en-US" w:eastAsia="zh-CN"/>
              </w:rPr>
            </w:pPr>
            <w:r>
              <w:rPr>
                <w:rFonts w:hint="default"/>
                <w:sz w:val="22"/>
                <w:szCs w:val="24"/>
                <w:lang w:val="en-US" w:eastAsia="zh-CN"/>
              </w:rPr>
              <w:t>7、传输方式：蓝牙集体传输团队运动表现数据，可支持OTA在线升级；</w:t>
            </w:r>
          </w:p>
          <w:p w14:paraId="6A150BBA">
            <w:pPr>
              <w:keepNext w:val="0"/>
              <w:keepLines w:val="0"/>
              <w:widowControl/>
              <w:suppressLineNumbers w:val="0"/>
              <w:jc w:val="both"/>
              <w:rPr>
                <w:rFonts w:hint="default"/>
                <w:sz w:val="22"/>
                <w:szCs w:val="24"/>
                <w:lang w:val="en-US" w:eastAsia="zh-CN"/>
              </w:rPr>
            </w:pPr>
            <w:r>
              <w:rPr>
                <w:rFonts w:hint="default"/>
                <w:sz w:val="22"/>
                <w:szCs w:val="24"/>
                <w:lang w:val="en-US" w:eastAsia="zh-CN"/>
              </w:rPr>
              <w:t>8、续航：≥5小时；</w:t>
            </w:r>
          </w:p>
          <w:p w14:paraId="1837468A">
            <w:pPr>
              <w:keepNext w:val="0"/>
              <w:keepLines w:val="0"/>
              <w:widowControl/>
              <w:suppressLineNumbers w:val="0"/>
              <w:jc w:val="both"/>
              <w:rPr>
                <w:rFonts w:hint="default"/>
                <w:sz w:val="22"/>
                <w:szCs w:val="24"/>
                <w:lang w:val="en-US" w:eastAsia="zh-CN"/>
              </w:rPr>
            </w:pPr>
            <w:r>
              <w:rPr>
                <w:rFonts w:hint="default"/>
                <w:sz w:val="22"/>
                <w:szCs w:val="24"/>
                <w:lang w:val="en-US" w:eastAsia="zh-CN"/>
              </w:rPr>
              <w:t>9、充电方式：磁吸充电，5V1A；</w:t>
            </w:r>
          </w:p>
          <w:p w14:paraId="22E64314">
            <w:pPr>
              <w:keepNext w:val="0"/>
              <w:keepLines w:val="0"/>
              <w:widowControl/>
              <w:suppressLineNumbers w:val="0"/>
              <w:jc w:val="both"/>
              <w:rPr>
                <w:rFonts w:hint="default"/>
                <w:sz w:val="22"/>
                <w:szCs w:val="24"/>
                <w:lang w:val="en-US" w:eastAsia="zh-CN"/>
              </w:rPr>
            </w:pPr>
            <w:r>
              <w:rPr>
                <w:rFonts w:hint="default"/>
                <w:sz w:val="22"/>
                <w:szCs w:val="24"/>
                <w:lang w:val="en-US" w:eastAsia="zh-CN"/>
              </w:rPr>
              <w:t>10、状态显示：LED呼吸灯；</w:t>
            </w:r>
          </w:p>
          <w:p w14:paraId="0BEDF4D3">
            <w:pPr>
              <w:keepNext w:val="0"/>
              <w:keepLines w:val="0"/>
              <w:widowControl/>
              <w:suppressLineNumbers w:val="0"/>
              <w:jc w:val="both"/>
              <w:rPr>
                <w:rFonts w:hint="default"/>
                <w:sz w:val="22"/>
                <w:szCs w:val="24"/>
                <w:lang w:val="en-US" w:eastAsia="zh-CN"/>
              </w:rPr>
            </w:pPr>
            <w:r>
              <w:rPr>
                <w:rFonts w:hint="default"/>
                <w:sz w:val="22"/>
                <w:szCs w:val="24"/>
                <w:lang w:val="en-US" w:eastAsia="zh-CN"/>
              </w:rPr>
              <w:t>11、防护等级：IP67，具备防雨防尘功能；</w:t>
            </w:r>
          </w:p>
          <w:p w14:paraId="1F9C189C">
            <w:pPr>
              <w:keepNext w:val="0"/>
              <w:keepLines w:val="0"/>
              <w:widowControl/>
              <w:suppressLineNumbers w:val="0"/>
              <w:jc w:val="both"/>
              <w:rPr>
                <w:rFonts w:hint="default"/>
                <w:sz w:val="22"/>
                <w:szCs w:val="24"/>
                <w:lang w:val="en-US" w:eastAsia="zh-CN"/>
              </w:rPr>
            </w:pPr>
            <w:r>
              <w:rPr>
                <w:rFonts w:hint="default"/>
                <w:sz w:val="22"/>
                <w:szCs w:val="24"/>
                <w:lang w:val="en-US" w:eastAsia="zh-CN"/>
              </w:rPr>
              <w:t>12、使用环境：-10℃至60℃；</w:t>
            </w:r>
          </w:p>
          <w:p w14:paraId="14091C4F">
            <w:pPr>
              <w:keepNext w:val="0"/>
              <w:keepLines w:val="0"/>
              <w:widowControl/>
              <w:suppressLineNumbers w:val="0"/>
              <w:jc w:val="both"/>
              <w:rPr>
                <w:rFonts w:hint="default"/>
                <w:sz w:val="22"/>
                <w:szCs w:val="24"/>
                <w:lang w:val="en-US" w:eastAsia="zh-CN"/>
              </w:rPr>
            </w:pPr>
            <w:r>
              <w:rPr>
                <w:rFonts w:hint="default"/>
                <w:sz w:val="22"/>
                <w:szCs w:val="24"/>
                <w:lang w:val="en-US" w:eastAsia="zh-CN"/>
              </w:rPr>
              <w:t>13、配备12位充电收纳箱、可同时收纳12个数据追踪器并充电；</w:t>
            </w:r>
          </w:p>
          <w:p w14:paraId="39104D1C">
            <w:pPr>
              <w:keepNext w:val="0"/>
              <w:keepLines w:val="0"/>
              <w:widowControl/>
              <w:suppressLineNumbers w:val="0"/>
              <w:jc w:val="both"/>
              <w:rPr>
                <w:rFonts w:hint="default"/>
                <w:sz w:val="22"/>
                <w:szCs w:val="24"/>
                <w:lang w:val="en-US" w:eastAsia="zh-CN"/>
              </w:rPr>
            </w:pPr>
            <w:r>
              <w:rPr>
                <w:rFonts w:hint="eastAsia"/>
                <w:sz w:val="22"/>
                <w:szCs w:val="24"/>
                <w:lang w:val="en-US" w:eastAsia="zh-CN"/>
              </w:rPr>
              <w:t>二</w:t>
            </w:r>
            <w:r>
              <w:rPr>
                <w:rFonts w:hint="default"/>
                <w:sz w:val="22"/>
                <w:szCs w:val="24"/>
                <w:lang w:val="en-US" w:eastAsia="zh-CN"/>
              </w:rPr>
              <w:t>、足球团队运动表现功能</w:t>
            </w:r>
          </w:p>
          <w:p w14:paraId="4CABF14C">
            <w:pPr>
              <w:keepNext w:val="0"/>
              <w:keepLines w:val="0"/>
              <w:widowControl/>
              <w:suppressLineNumbers w:val="0"/>
              <w:jc w:val="both"/>
              <w:rPr>
                <w:rFonts w:hint="default"/>
                <w:sz w:val="22"/>
                <w:szCs w:val="24"/>
                <w:lang w:val="en-US" w:eastAsia="zh-CN"/>
              </w:rPr>
            </w:pPr>
            <w:r>
              <w:rPr>
                <w:rFonts w:hint="default"/>
                <w:sz w:val="22"/>
                <w:szCs w:val="24"/>
                <w:lang w:val="en-US" w:eastAsia="zh-CN"/>
              </w:rPr>
              <w:t>1、具备电脑网页端和平板电脑端操作，现场使用支持平板电脑端操作；</w:t>
            </w:r>
          </w:p>
          <w:p w14:paraId="5E9B9E5E">
            <w:pPr>
              <w:keepNext w:val="0"/>
              <w:keepLines w:val="0"/>
              <w:widowControl/>
              <w:suppressLineNumbers w:val="0"/>
              <w:jc w:val="both"/>
              <w:rPr>
                <w:rFonts w:hint="default"/>
                <w:sz w:val="22"/>
                <w:szCs w:val="24"/>
                <w:lang w:val="en-US" w:eastAsia="zh-CN"/>
              </w:rPr>
            </w:pPr>
            <w:r>
              <w:rPr>
                <w:rFonts w:hint="default"/>
                <w:sz w:val="22"/>
                <w:szCs w:val="24"/>
                <w:lang w:val="en-US" w:eastAsia="zh-CN"/>
              </w:rPr>
              <w:t>2、具备球队、球员数据导入及管理功能，支持历史数据查看，支持历史数据对比功能；</w:t>
            </w:r>
          </w:p>
          <w:p w14:paraId="6F0ED9E9">
            <w:pPr>
              <w:keepNext w:val="0"/>
              <w:keepLines w:val="0"/>
              <w:widowControl/>
              <w:suppressLineNumbers w:val="0"/>
              <w:jc w:val="both"/>
              <w:rPr>
                <w:rFonts w:hint="default"/>
                <w:sz w:val="22"/>
                <w:szCs w:val="24"/>
                <w:lang w:val="en-US" w:eastAsia="zh-CN"/>
              </w:rPr>
            </w:pPr>
            <w:r>
              <w:rPr>
                <w:rFonts w:hint="default"/>
                <w:sz w:val="22"/>
                <w:szCs w:val="24"/>
                <w:lang w:val="en-US" w:eastAsia="zh-CN"/>
              </w:rPr>
              <w:t>3、具备训练/队内赛/队外赛模式，针对不同的场景都能提供数据服务；</w:t>
            </w:r>
          </w:p>
          <w:p w14:paraId="0E996CBB">
            <w:pPr>
              <w:keepNext w:val="0"/>
              <w:keepLines w:val="0"/>
              <w:widowControl/>
              <w:suppressLineNumbers w:val="0"/>
              <w:jc w:val="both"/>
              <w:rPr>
                <w:rFonts w:hint="default"/>
                <w:sz w:val="22"/>
                <w:szCs w:val="24"/>
                <w:lang w:val="en-US" w:eastAsia="zh-CN"/>
              </w:rPr>
            </w:pPr>
            <w:r>
              <w:rPr>
                <w:rFonts w:hint="default"/>
                <w:sz w:val="22"/>
                <w:szCs w:val="24"/>
                <w:lang w:val="en-US" w:eastAsia="zh-CN"/>
              </w:rPr>
              <w:t>4、队伍创建：队员可通过队伍二维码填写资料加入队伍；支持组建多个队伍，可根据不同的队伍类型选择对应的数据分析标准；</w:t>
            </w:r>
          </w:p>
          <w:p w14:paraId="013F91F0">
            <w:pPr>
              <w:keepNext w:val="0"/>
              <w:keepLines w:val="0"/>
              <w:widowControl/>
              <w:suppressLineNumbers w:val="0"/>
              <w:jc w:val="both"/>
              <w:rPr>
                <w:rFonts w:hint="default"/>
                <w:sz w:val="22"/>
                <w:szCs w:val="24"/>
                <w:lang w:val="en-US" w:eastAsia="zh-CN"/>
              </w:rPr>
            </w:pPr>
            <w:r>
              <w:rPr>
                <w:rFonts w:hint="default"/>
                <w:sz w:val="22"/>
                <w:szCs w:val="24"/>
                <w:lang w:val="en-US" w:eastAsia="zh-CN"/>
              </w:rPr>
              <w:t>6、平板端支持：追踪器电量、4G信号、卫星质量；分配、绑定追踪器给球员；追踪器固件升级、软件版本升级功能；</w:t>
            </w:r>
          </w:p>
          <w:p w14:paraId="61A1AE26">
            <w:pPr>
              <w:keepNext w:val="0"/>
              <w:keepLines w:val="0"/>
              <w:widowControl/>
              <w:suppressLineNumbers w:val="0"/>
              <w:jc w:val="both"/>
              <w:rPr>
                <w:rFonts w:hint="default"/>
                <w:sz w:val="22"/>
                <w:szCs w:val="24"/>
                <w:lang w:val="en-US" w:eastAsia="zh-CN"/>
              </w:rPr>
            </w:pPr>
            <w:r>
              <w:rPr>
                <w:rFonts w:hint="default"/>
                <w:sz w:val="22"/>
                <w:szCs w:val="24"/>
                <w:lang w:val="en-US" w:eastAsia="zh-CN"/>
              </w:rPr>
              <w:t>▲7、平板端具备呈现球员以下数据：总距离、高强度距离、实时速度、最大速度、加减速次数、距离/分钟、最大心率、平均心率、心率强度、卡路里消耗，心率数据与冲刺速度对应图，心率数据与加减速对应图等数据；（提供产品彩页或平板端照片证明满足该功能要求）</w:t>
            </w:r>
          </w:p>
          <w:p w14:paraId="6FA1E4CE">
            <w:pPr>
              <w:keepNext w:val="0"/>
              <w:keepLines w:val="0"/>
              <w:widowControl/>
              <w:suppressLineNumbers w:val="0"/>
              <w:jc w:val="both"/>
              <w:rPr>
                <w:rFonts w:hint="default"/>
                <w:sz w:val="22"/>
                <w:szCs w:val="24"/>
                <w:lang w:val="en-US" w:eastAsia="zh-CN"/>
              </w:rPr>
            </w:pPr>
            <w:r>
              <w:rPr>
                <w:rFonts w:hint="default"/>
                <w:sz w:val="22"/>
                <w:szCs w:val="24"/>
                <w:lang w:val="en-US" w:eastAsia="zh-CN"/>
              </w:rPr>
              <w:t>▲8、训练报告具备：团队及个人比赛统计、跑动分析、心率分析、跑动速度区间、热力图、区域停留占比，支持球员数据对比，基准比赛数据对比；（提供产品彩页或平板端照片证明满足该功能要求）</w:t>
            </w:r>
          </w:p>
          <w:p w14:paraId="458B2322">
            <w:pPr>
              <w:keepNext w:val="0"/>
              <w:keepLines w:val="0"/>
              <w:widowControl/>
              <w:suppressLineNumbers w:val="0"/>
              <w:jc w:val="both"/>
              <w:rPr>
                <w:rFonts w:hint="default"/>
                <w:sz w:val="22"/>
                <w:szCs w:val="24"/>
                <w:lang w:val="en-US" w:eastAsia="zh-CN"/>
              </w:rPr>
            </w:pPr>
            <w:r>
              <w:rPr>
                <w:rFonts w:hint="default"/>
                <w:sz w:val="22"/>
                <w:szCs w:val="24"/>
                <w:lang w:val="en-US" w:eastAsia="zh-CN"/>
              </w:rPr>
              <w:t>▲9、具备提供训练和比赛报告PDF导出功能；</w:t>
            </w:r>
          </w:p>
          <w:p w14:paraId="36013A96">
            <w:pPr>
              <w:keepNext w:val="0"/>
              <w:keepLines w:val="0"/>
              <w:widowControl/>
              <w:suppressLineNumbers w:val="0"/>
              <w:jc w:val="both"/>
              <w:rPr>
                <w:rFonts w:hint="default"/>
                <w:sz w:val="22"/>
                <w:szCs w:val="24"/>
                <w:lang w:val="en-US" w:eastAsia="zh-CN"/>
              </w:rPr>
            </w:pPr>
            <w:r>
              <w:rPr>
                <w:rFonts w:hint="eastAsia"/>
                <w:sz w:val="22"/>
                <w:szCs w:val="24"/>
                <w:lang w:val="en-US" w:eastAsia="zh-CN"/>
              </w:rPr>
              <w:t>三</w:t>
            </w:r>
            <w:r>
              <w:rPr>
                <w:rFonts w:hint="default"/>
                <w:sz w:val="22"/>
                <w:szCs w:val="24"/>
                <w:lang w:val="en-US" w:eastAsia="zh-CN"/>
              </w:rPr>
              <w:t>、认证资质</w:t>
            </w:r>
          </w:p>
          <w:p w14:paraId="784BCF24">
            <w:pPr>
              <w:keepNext w:val="0"/>
              <w:keepLines w:val="0"/>
              <w:widowControl/>
              <w:suppressLineNumbers w:val="0"/>
              <w:jc w:val="both"/>
              <w:rPr>
                <w:rFonts w:hint="default"/>
                <w:sz w:val="22"/>
                <w:szCs w:val="24"/>
                <w:lang w:val="en-US" w:eastAsia="zh-CN"/>
              </w:rPr>
            </w:pPr>
            <w:r>
              <w:rPr>
                <w:rFonts w:hint="default"/>
                <w:sz w:val="22"/>
                <w:szCs w:val="24"/>
                <w:lang w:val="en-US" w:eastAsia="zh-CN"/>
              </w:rPr>
              <w:t xml:space="preserve"> 1.取得FIFA BASIC认证：可以用于各级别正式比赛，投标时提供FIFA BASIC认证证书。</w:t>
            </w:r>
          </w:p>
        </w:tc>
      </w:tr>
      <w:tr w14:paraId="06C0D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854" w:type="dxa"/>
            <w:vAlign w:val="center"/>
          </w:tcPr>
          <w:p w14:paraId="436D5515">
            <w:pPr>
              <w:pStyle w:val="9"/>
              <w:numPr>
                <w:ilvl w:val="0"/>
                <w:numId w:val="0"/>
              </w:numPr>
              <w:spacing w:line="600" w:lineRule="auto"/>
              <w:ind w:left="0" w:leftChars="0" w:firstLine="0" w:firstLineChars="0"/>
              <w:jc w:val="center"/>
              <w:rPr>
                <w:rFonts w:hint="default" w:asciiTheme="minorHAnsi" w:hAnsiTheme="minorHAnsi" w:eastAsiaTheme="minorEastAsia" w:cstheme="minorBidi"/>
                <w:kern w:val="2"/>
                <w:sz w:val="22"/>
                <w:szCs w:val="24"/>
                <w:lang w:val="en-US" w:eastAsia="zh-CN" w:bidi="ar-SA"/>
              </w:rPr>
            </w:pPr>
            <w:r>
              <w:rPr>
                <w:rFonts w:hint="eastAsia" w:cstheme="minorBidi"/>
                <w:kern w:val="2"/>
                <w:sz w:val="22"/>
                <w:szCs w:val="24"/>
                <w:lang w:val="en-US" w:eastAsia="zh-CN" w:bidi="ar-SA"/>
              </w:rPr>
              <w:t>7</w:t>
            </w:r>
          </w:p>
        </w:tc>
        <w:tc>
          <w:tcPr>
            <w:tcW w:w="1425" w:type="dxa"/>
            <w:vAlign w:val="center"/>
          </w:tcPr>
          <w:p w14:paraId="315FCBA5">
            <w:pPr>
              <w:keepNext w:val="0"/>
              <w:keepLines w:val="0"/>
              <w:widowControl/>
              <w:suppressLineNumbers w:val="0"/>
              <w:spacing w:line="600" w:lineRule="auto"/>
              <w:jc w:val="center"/>
              <w:textAlignment w:val="center"/>
              <w:rPr>
                <w:rFonts w:hint="eastAsia" w:asciiTheme="minorHAnsi" w:hAnsiTheme="minorHAnsi" w:eastAsiaTheme="minorEastAsia" w:cstheme="minorBidi"/>
                <w:kern w:val="2"/>
                <w:sz w:val="22"/>
                <w:szCs w:val="24"/>
                <w:lang w:val="en-US" w:eastAsia="zh-CN" w:bidi="ar-SA"/>
              </w:rPr>
            </w:pPr>
            <w:r>
              <w:rPr>
                <w:rFonts w:hint="eastAsia" w:asciiTheme="minorHAnsi" w:hAnsiTheme="minorHAnsi" w:eastAsiaTheme="minorEastAsia" w:cstheme="minorBidi"/>
                <w:kern w:val="2"/>
                <w:sz w:val="22"/>
                <w:szCs w:val="24"/>
                <w:lang w:val="en-US" w:eastAsia="zh-CN" w:bidi="ar-SA"/>
              </w:rPr>
              <w:t>艺术体操垫</w:t>
            </w:r>
          </w:p>
        </w:tc>
        <w:tc>
          <w:tcPr>
            <w:tcW w:w="6978" w:type="dxa"/>
            <w:vAlign w:val="center"/>
          </w:tcPr>
          <w:p w14:paraId="38EA1901">
            <w:pPr>
              <w:keepNext w:val="0"/>
              <w:keepLines w:val="0"/>
              <w:widowControl/>
              <w:suppressLineNumbers w:val="0"/>
              <w:jc w:val="both"/>
              <w:rPr>
                <w:rFonts w:hint="eastAsia"/>
                <w:sz w:val="22"/>
                <w:szCs w:val="24"/>
                <w:lang w:val="en-US" w:eastAsia="zh-CN"/>
              </w:rPr>
            </w:pPr>
            <w:r>
              <w:rPr>
                <w:rFonts w:hint="eastAsia"/>
                <w:sz w:val="22"/>
                <w:szCs w:val="24"/>
                <w:lang w:val="en-US" w:eastAsia="zh-CN"/>
              </w:rPr>
              <w:t>1、本体操垫为毛毯面材质结构，整体配色为米色，外观整洁大气，适配各类体育训练场地铺设使用。产品标准规格尺寸为14m×14m，双层结构设计，单块垫子厚度为2cm；</w:t>
            </w:r>
          </w:p>
          <w:p w14:paraId="693CB96B">
            <w:pPr>
              <w:keepNext w:val="0"/>
              <w:keepLines w:val="0"/>
              <w:widowControl/>
              <w:suppressLineNumbers w:val="0"/>
              <w:jc w:val="both"/>
              <w:rPr>
                <w:rFonts w:hint="eastAsia"/>
                <w:sz w:val="22"/>
                <w:szCs w:val="24"/>
                <w:lang w:val="en-US" w:eastAsia="zh-CN"/>
              </w:rPr>
            </w:pPr>
            <w:r>
              <w:rPr>
                <w:rFonts w:hint="eastAsia"/>
                <w:sz w:val="22"/>
                <w:szCs w:val="24"/>
                <w:lang w:val="en-US" w:eastAsia="zh-CN"/>
              </w:rPr>
              <w:t>2、多溴联苯类指标：一溴联苯至十溴联苯各类物质均未检出，单类检出限为5mg/kg，多溴联苯总含量未检出，满足≤1000mg/kg的限值要求，符合安全标准。</w:t>
            </w:r>
          </w:p>
          <w:p w14:paraId="536BA6C0">
            <w:pPr>
              <w:keepNext w:val="0"/>
              <w:keepLines w:val="0"/>
              <w:widowControl/>
              <w:suppressLineNumbers w:val="0"/>
              <w:jc w:val="both"/>
              <w:rPr>
                <w:rFonts w:hint="eastAsia"/>
                <w:sz w:val="22"/>
                <w:szCs w:val="24"/>
                <w:lang w:val="en-US" w:eastAsia="zh-CN"/>
              </w:rPr>
            </w:pPr>
            <w:r>
              <w:rPr>
                <w:rFonts w:hint="eastAsia"/>
                <w:sz w:val="22"/>
                <w:szCs w:val="24"/>
                <w:lang w:val="en-US" w:eastAsia="zh-CN"/>
              </w:rPr>
              <w:t>3、多溴二苯醚类指标：各类溴二苯醚物质均未检出，单类检出限为5mg/kg，多溴二苯醚总含量未检出，符合≤1000mg/kg的规范限值，阻燃相关有害物质达标。</w:t>
            </w:r>
          </w:p>
          <w:p w14:paraId="704CAA5A">
            <w:pPr>
              <w:keepNext w:val="0"/>
              <w:keepLines w:val="0"/>
              <w:widowControl/>
              <w:suppressLineNumbers w:val="0"/>
              <w:jc w:val="both"/>
              <w:rPr>
                <w:rFonts w:hint="eastAsia"/>
                <w:sz w:val="22"/>
                <w:szCs w:val="24"/>
                <w:lang w:val="en-US" w:eastAsia="zh-CN"/>
              </w:rPr>
            </w:pPr>
            <w:r>
              <w:rPr>
                <w:rFonts w:hint="eastAsia"/>
                <w:sz w:val="22"/>
                <w:szCs w:val="24"/>
                <w:lang w:val="en-US" w:eastAsia="zh-CN"/>
              </w:rPr>
              <w:t>4、邻苯二甲酸酯类指标：邻苯二甲酸二丁酯(DBP)、邻苯二甲酸丁基苄基酯(BBP)、邻苯二甲酸二(2-乙基)己酯(DEHP)、邻苯二甲酸二异丁酯(DIBP)均未检出，检出限为50mg/kg，各项指标均符合≤1000mg/kg的限值标准，无塑化剂超标风险。</w:t>
            </w:r>
          </w:p>
        </w:tc>
      </w:tr>
      <w:tr w14:paraId="0C7B7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854" w:type="dxa"/>
            <w:vAlign w:val="center"/>
          </w:tcPr>
          <w:p w14:paraId="24E7EFEB">
            <w:pPr>
              <w:pStyle w:val="9"/>
              <w:numPr>
                <w:ilvl w:val="0"/>
                <w:numId w:val="0"/>
              </w:numPr>
              <w:spacing w:line="600" w:lineRule="auto"/>
              <w:ind w:left="0" w:leftChars="0" w:firstLine="0" w:firstLineChars="0"/>
              <w:jc w:val="center"/>
              <w:rPr>
                <w:rFonts w:hint="default" w:asciiTheme="minorHAnsi" w:hAnsiTheme="minorHAnsi" w:eastAsiaTheme="minorEastAsia" w:cstheme="minorBidi"/>
                <w:kern w:val="2"/>
                <w:sz w:val="22"/>
                <w:szCs w:val="24"/>
                <w:lang w:val="en-US" w:eastAsia="zh-CN" w:bidi="ar-SA"/>
              </w:rPr>
            </w:pPr>
            <w:r>
              <w:rPr>
                <w:rFonts w:hint="eastAsia" w:cstheme="minorBidi"/>
                <w:kern w:val="2"/>
                <w:sz w:val="22"/>
                <w:szCs w:val="24"/>
                <w:lang w:val="en-US" w:eastAsia="zh-CN" w:bidi="ar-SA"/>
              </w:rPr>
              <w:t>8</w:t>
            </w:r>
          </w:p>
        </w:tc>
        <w:tc>
          <w:tcPr>
            <w:tcW w:w="1425" w:type="dxa"/>
            <w:vAlign w:val="center"/>
          </w:tcPr>
          <w:p w14:paraId="7C831CEC">
            <w:pPr>
              <w:keepNext w:val="0"/>
              <w:keepLines w:val="0"/>
              <w:widowControl/>
              <w:suppressLineNumbers w:val="0"/>
              <w:spacing w:line="600" w:lineRule="auto"/>
              <w:jc w:val="center"/>
              <w:textAlignment w:val="center"/>
              <w:rPr>
                <w:rFonts w:hint="eastAsia" w:asciiTheme="minorHAnsi" w:hAnsiTheme="minorHAnsi" w:eastAsiaTheme="minorEastAsia" w:cstheme="minorBidi"/>
                <w:kern w:val="2"/>
                <w:sz w:val="22"/>
                <w:szCs w:val="24"/>
                <w:lang w:val="en-US" w:eastAsia="zh-CN" w:bidi="ar-SA"/>
              </w:rPr>
            </w:pPr>
            <w:r>
              <w:rPr>
                <w:rFonts w:hint="eastAsia" w:asciiTheme="minorHAnsi" w:hAnsiTheme="minorHAnsi" w:eastAsiaTheme="minorEastAsia" w:cstheme="minorBidi"/>
                <w:kern w:val="2"/>
                <w:sz w:val="22"/>
                <w:szCs w:val="24"/>
                <w:lang w:val="en-US" w:eastAsia="zh-CN" w:bidi="ar-SA"/>
              </w:rPr>
              <w:t>围棋机器人</w:t>
            </w:r>
          </w:p>
        </w:tc>
        <w:tc>
          <w:tcPr>
            <w:tcW w:w="6978" w:type="dxa"/>
            <w:vAlign w:val="center"/>
          </w:tcPr>
          <w:p w14:paraId="52885869">
            <w:pPr>
              <w:keepNext w:val="0"/>
              <w:keepLines w:val="0"/>
              <w:widowControl/>
              <w:suppressLineNumbers w:val="0"/>
              <w:jc w:val="both"/>
              <w:rPr>
                <w:rFonts w:hint="eastAsia"/>
                <w:sz w:val="22"/>
                <w:szCs w:val="24"/>
                <w:lang w:val="en-US" w:eastAsia="zh-CN"/>
              </w:rPr>
            </w:pPr>
            <w:r>
              <w:rPr>
                <w:rFonts w:hint="eastAsia"/>
                <w:sz w:val="22"/>
                <w:szCs w:val="24"/>
                <w:lang w:val="en-US" w:eastAsia="zh-CN"/>
              </w:rPr>
              <w:t>1、下棋：包括人机对弈、面对面下棋，人人对弈，还可以下五子棋、象棋；人机对弈时机器可以自动匹配棋者的棋力、棋力相当的AI对弈练习质量高，人人对弈时机器人代替对手来落子，临场对弈体验感好，增加棋者的学棋兴趣。</w:t>
            </w:r>
          </w:p>
          <w:p w14:paraId="26F84AD6">
            <w:pPr>
              <w:keepNext w:val="0"/>
              <w:keepLines w:val="0"/>
              <w:widowControl/>
              <w:suppressLineNumbers w:val="0"/>
              <w:jc w:val="both"/>
              <w:rPr>
                <w:rFonts w:hint="eastAsia"/>
                <w:sz w:val="22"/>
                <w:szCs w:val="24"/>
                <w:lang w:val="en-US" w:eastAsia="zh-CN"/>
              </w:rPr>
            </w:pPr>
            <w:r>
              <w:rPr>
                <w:rFonts w:hint="eastAsia"/>
                <w:sz w:val="22"/>
                <w:szCs w:val="24"/>
                <w:lang w:val="en-US" w:eastAsia="zh-CN"/>
              </w:rPr>
              <w:t>2、涨棋：包括零基础到高段的系统课、名局精讲、丰富精选习题、AI复盘；</w:t>
            </w:r>
          </w:p>
          <w:p w14:paraId="2DFAC209">
            <w:pPr>
              <w:keepNext w:val="0"/>
              <w:keepLines w:val="0"/>
              <w:widowControl/>
              <w:suppressLineNumbers w:val="0"/>
              <w:jc w:val="both"/>
              <w:rPr>
                <w:rFonts w:hint="eastAsia"/>
                <w:sz w:val="22"/>
                <w:szCs w:val="24"/>
                <w:lang w:val="en-US" w:eastAsia="zh-CN"/>
              </w:rPr>
            </w:pPr>
            <w:r>
              <w:rPr>
                <w:rFonts w:hint="eastAsia"/>
                <w:sz w:val="22"/>
                <w:szCs w:val="24"/>
                <w:lang w:val="en-US" w:eastAsia="zh-CN"/>
              </w:rPr>
              <w:t>3、报告：每日学棋练棋的数据以报告形式呈现，方便了解、看见进步。</w:t>
            </w:r>
          </w:p>
          <w:p w14:paraId="784EDC68">
            <w:pPr>
              <w:keepNext w:val="0"/>
              <w:keepLines w:val="0"/>
              <w:widowControl/>
              <w:suppressLineNumbers w:val="0"/>
              <w:jc w:val="both"/>
              <w:rPr>
                <w:rFonts w:hint="eastAsia"/>
                <w:sz w:val="22"/>
                <w:szCs w:val="24"/>
                <w:lang w:val="en-US" w:eastAsia="zh-CN"/>
              </w:rPr>
            </w:pPr>
            <w:r>
              <w:rPr>
                <w:rFonts w:hint="eastAsia"/>
                <w:sz w:val="22"/>
                <w:szCs w:val="24"/>
                <w:lang w:val="en-US" w:eastAsia="zh-CN"/>
              </w:rPr>
              <w:t>4、屏幕：10.1英寸高清屏，分辨率1920*1200，是无频闪护眼屏幕还不易刮花</w:t>
            </w:r>
          </w:p>
          <w:p w14:paraId="4172FAA5">
            <w:pPr>
              <w:keepNext w:val="0"/>
              <w:keepLines w:val="0"/>
              <w:widowControl/>
              <w:suppressLineNumbers w:val="0"/>
              <w:jc w:val="both"/>
              <w:rPr>
                <w:rFonts w:hint="eastAsia"/>
                <w:sz w:val="22"/>
                <w:szCs w:val="24"/>
                <w:lang w:val="en-US" w:eastAsia="zh-CN"/>
              </w:rPr>
            </w:pPr>
            <w:r>
              <w:rPr>
                <w:rFonts w:hint="eastAsia"/>
                <w:sz w:val="22"/>
                <w:szCs w:val="24"/>
                <w:lang w:val="en-US" w:eastAsia="zh-CN"/>
              </w:rPr>
              <w:t>5、摄像头：棋局摄像头像素≥800万、感知摄像头像素≥200万</w:t>
            </w:r>
          </w:p>
          <w:p w14:paraId="1278E440">
            <w:pPr>
              <w:keepNext w:val="0"/>
              <w:keepLines w:val="0"/>
              <w:widowControl/>
              <w:suppressLineNumbers w:val="0"/>
              <w:jc w:val="both"/>
              <w:rPr>
                <w:rFonts w:hint="eastAsia"/>
                <w:sz w:val="22"/>
                <w:szCs w:val="24"/>
                <w:lang w:val="en-US" w:eastAsia="zh-CN"/>
              </w:rPr>
            </w:pPr>
            <w:r>
              <w:rPr>
                <w:rFonts w:hint="eastAsia"/>
                <w:sz w:val="22"/>
                <w:szCs w:val="24"/>
                <w:lang w:val="en-US" w:eastAsia="zh-CN"/>
              </w:rPr>
              <w:t>6、内存：32G，可满足系统运行、资源文件和使用记录存储</w:t>
            </w:r>
          </w:p>
          <w:p w14:paraId="7761A095">
            <w:pPr>
              <w:keepNext w:val="0"/>
              <w:keepLines w:val="0"/>
              <w:widowControl/>
              <w:suppressLineNumbers w:val="0"/>
              <w:jc w:val="both"/>
              <w:rPr>
                <w:rFonts w:hint="eastAsia"/>
                <w:sz w:val="22"/>
                <w:szCs w:val="24"/>
                <w:lang w:val="en-US" w:eastAsia="zh-CN"/>
              </w:rPr>
            </w:pPr>
            <w:r>
              <w:rPr>
                <w:rFonts w:hint="eastAsia"/>
                <w:sz w:val="22"/>
                <w:szCs w:val="24"/>
                <w:lang w:val="en-US" w:eastAsia="zh-CN"/>
              </w:rPr>
              <w:t>7、放置与重量：主机等整机重≥3.8Kg，至少适合宽69cm、长62cm的平整桌面使用</w:t>
            </w:r>
          </w:p>
        </w:tc>
      </w:tr>
      <w:tr w14:paraId="662A1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854" w:type="dxa"/>
            <w:vAlign w:val="center"/>
          </w:tcPr>
          <w:p w14:paraId="23CC5456">
            <w:pPr>
              <w:pStyle w:val="9"/>
              <w:numPr>
                <w:ilvl w:val="0"/>
                <w:numId w:val="0"/>
              </w:numPr>
              <w:spacing w:line="600" w:lineRule="auto"/>
              <w:ind w:left="0" w:leftChars="0" w:firstLine="0" w:firstLineChars="0"/>
              <w:jc w:val="center"/>
              <w:rPr>
                <w:rFonts w:hint="default" w:asciiTheme="minorHAnsi" w:hAnsiTheme="minorHAnsi" w:eastAsiaTheme="minorEastAsia" w:cstheme="minorBidi"/>
                <w:kern w:val="2"/>
                <w:sz w:val="22"/>
                <w:szCs w:val="24"/>
                <w:lang w:val="en-US" w:eastAsia="zh-CN" w:bidi="ar-SA"/>
              </w:rPr>
            </w:pPr>
            <w:r>
              <w:rPr>
                <w:rFonts w:hint="eastAsia" w:cstheme="minorBidi"/>
                <w:kern w:val="2"/>
                <w:sz w:val="22"/>
                <w:szCs w:val="24"/>
                <w:lang w:val="en-US" w:eastAsia="zh-CN" w:bidi="ar-SA"/>
              </w:rPr>
              <w:t>9</w:t>
            </w:r>
          </w:p>
        </w:tc>
        <w:tc>
          <w:tcPr>
            <w:tcW w:w="1425" w:type="dxa"/>
            <w:vAlign w:val="center"/>
          </w:tcPr>
          <w:p w14:paraId="060DD95E">
            <w:pPr>
              <w:keepNext w:val="0"/>
              <w:keepLines w:val="0"/>
              <w:widowControl/>
              <w:suppressLineNumbers w:val="0"/>
              <w:spacing w:line="600" w:lineRule="auto"/>
              <w:jc w:val="center"/>
              <w:textAlignment w:val="center"/>
              <w:rPr>
                <w:rFonts w:hint="eastAsia" w:asciiTheme="minorHAnsi" w:hAnsiTheme="minorHAnsi" w:eastAsiaTheme="minorEastAsia" w:cstheme="minorBidi"/>
                <w:kern w:val="2"/>
                <w:sz w:val="22"/>
                <w:szCs w:val="24"/>
                <w:lang w:val="en-US" w:eastAsia="zh-CN" w:bidi="ar-SA"/>
              </w:rPr>
            </w:pPr>
            <w:r>
              <w:rPr>
                <w:rFonts w:hint="eastAsia" w:asciiTheme="minorHAnsi" w:hAnsiTheme="minorHAnsi" w:eastAsiaTheme="minorEastAsia" w:cstheme="minorBidi"/>
                <w:kern w:val="2"/>
                <w:sz w:val="22"/>
                <w:szCs w:val="24"/>
                <w:lang w:val="en-US" w:eastAsia="zh-CN" w:bidi="ar-SA"/>
              </w:rPr>
              <w:t>健身房影像音</w:t>
            </w:r>
            <w:bookmarkStart w:id="0" w:name="_GoBack"/>
            <w:bookmarkEnd w:id="0"/>
            <w:r>
              <w:rPr>
                <w:rFonts w:hint="eastAsia" w:asciiTheme="minorHAnsi" w:hAnsiTheme="minorHAnsi" w:eastAsiaTheme="minorEastAsia" w:cstheme="minorBidi"/>
                <w:kern w:val="2"/>
                <w:sz w:val="22"/>
                <w:szCs w:val="24"/>
                <w:lang w:val="en-US" w:eastAsia="zh-CN" w:bidi="ar-SA"/>
              </w:rPr>
              <w:t>箱</w:t>
            </w:r>
          </w:p>
        </w:tc>
        <w:tc>
          <w:tcPr>
            <w:tcW w:w="6978" w:type="dxa"/>
            <w:vAlign w:val="center"/>
          </w:tcPr>
          <w:p w14:paraId="099DB176">
            <w:pPr>
              <w:keepNext w:val="0"/>
              <w:keepLines w:val="0"/>
              <w:widowControl/>
              <w:suppressLineNumbers w:val="0"/>
              <w:jc w:val="both"/>
              <w:rPr>
                <w:rFonts w:hint="default"/>
                <w:sz w:val="22"/>
                <w:szCs w:val="24"/>
                <w:lang w:val="en-US" w:eastAsia="zh-CN"/>
              </w:rPr>
            </w:pPr>
            <w:r>
              <w:rPr>
                <w:rFonts w:hint="eastAsia"/>
                <w:sz w:val="22"/>
                <w:szCs w:val="24"/>
                <w:lang w:val="en-US" w:eastAsia="zh-CN"/>
              </w:rPr>
              <w:t>音箱2只</w:t>
            </w:r>
          </w:p>
          <w:p w14:paraId="570BFCBE">
            <w:pPr>
              <w:keepNext w:val="0"/>
              <w:keepLines w:val="0"/>
              <w:widowControl/>
              <w:suppressLineNumbers w:val="0"/>
              <w:jc w:val="both"/>
              <w:rPr>
                <w:rFonts w:hint="eastAsia"/>
                <w:sz w:val="22"/>
                <w:szCs w:val="24"/>
                <w:lang w:val="en-US" w:eastAsia="zh-CN"/>
              </w:rPr>
            </w:pPr>
            <w:r>
              <w:rPr>
                <w:rFonts w:hint="eastAsia"/>
                <w:sz w:val="22"/>
                <w:szCs w:val="24"/>
                <w:lang w:val="en-US" w:eastAsia="zh-CN"/>
              </w:rPr>
              <w:t>1、频率响应不劣于55Hz-19KHz:2：灵敏度不小于92dB 1.0W/1m:连续声压级不小于112dB，峰值声压级不小于118dB</w:t>
            </w:r>
          </w:p>
          <w:p w14:paraId="605F6B81">
            <w:pPr>
              <w:keepNext w:val="0"/>
              <w:keepLines w:val="0"/>
              <w:widowControl/>
              <w:suppressLineNumbers w:val="0"/>
              <w:jc w:val="both"/>
              <w:rPr>
                <w:rFonts w:hint="eastAsia"/>
                <w:sz w:val="22"/>
                <w:szCs w:val="24"/>
                <w:lang w:val="en-US" w:eastAsia="zh-CN"/>
              </w:rPr>
            </w:pPr>
            <w:r>
              <w:rPr>
                <w:rFonts w:hint="eastAsia"/>
                <w:sz w:val="22"/>
                <w:szCs w:val="24"/>
                <w:lang w:val="en-US" w:eastAsia="zh-CN"/>
              </w:rPr>
              <w:t>▲2、模式：音箱自带不少于2种模式切换，通过旋钮拨档，1：FS Mode(反馈抑制模式，在不影响声压听感的情况下可有效抑制啸叫)；2：Music Mode （音乐模式）（提供产品彩页或实物照片证明满足该功能要求）</w:t>
            </w:r>
          </w:p>
          <w:p w14:paraId="6948C64A">
            <w:pPr>
              <w:keepNext w:val="0"/>
              <w:keepLines w:val="0"/>
              <w:widowControl/>
              <w:suppressLineNumbers w:val="0"/>
              <w:jc w:val="both"/>
              <w:rPr>
                <w:rFonts w:hint="eastAsia"/>
                <w:sz w:val="22"/>
                <w:szCs w:val="24"/>
                <w:lang w:val="en-US" w:eastAsia="zh-CN"/>
              </w:rPr>
            </w:pPr>
            <w:r>
              <w:rPr>
                <w:rFonts w:hint="eastAsia"/>
                <w:sz w:val="22"/>
                <w:szCs w:val="24"/>
                <w:lang w:val="en-US" w:eastAsia="zh-CN"/>
              </w:rPr>
              <w:t xml:space="preserve">3、额定功率不小于100W     </w:t>
            </w:r>
          </w:p>
          <w:p w14:paraId="1F3527B8">
            <w:pPr>
              <w:keepNext w:val="0"/>
              <w:keepLines w:val="0"/>
              <w:widowControl/>
              <w:suppressLineNumbers w:val="0"/>
              <w:jc w:val="both"/>
              <w:rPr>
                <w:rFonts w:hint="eastAsia"/>
                <w:sz w:val="22"/>
                <w:szCs w:val="24"/>
                <w:lang w:val="en-US" w:eastAsia="zh-CN"/>
              </w:rPr>
            </w:pPr>
            <w:r>
              <w:rPr>
                <w:rFonts w:hint="eastAsia"/>
                <w:sz w:val="22"/>
                <w:szCs w:val="24"/>
                <w:lang w:val="en-US" w:eastAsia="zh-CN"/>
              </w:rPr>
              <w:t>4、峰值功率不小于400W</w:t>
            </w:r>
          </w:p>
          <w:p w14:paraId="0F5B0F2A">
            <w:pPr>
              <w:keepNext w:val="0"/>
              <w:keepLines w:val="0"/>
              <w:widowControl/>
              <w:suppressLineNumbers w:val="0"/>
              <w:jc w:val="both"/>
              <w:rPr>
                <w:rFonts w:hint="eastAsia"/>
                <w:sz w:val="22"/>
                <w:szCs w:val="24"/>
                <w:lang w:val="en-US" w:eastAsia="zh-CN"/>
              </w:rPr>
            </w:pPr>
            <w:r>
              <w:rPr>
                <w:rFonts w:hint="eastAsia"/>
                <w:sz w:val="22"/>
                <w:szCs w:val="24"/>
                <w:lang w:val="en-US" w:eastAsia="zh-CN"/>
              </w:rPr>
              <w:t>5、低音单元不低于1×8"</w:t>
            </w:r>
          </w:p>
          <w:p w14:paraId="443BEDFA">
            <w:pPr>
              <w:keepNext w:val="0"/>
              <w:keepLines w:val="0"/>
              <w:widowControl/>
              <w:suppressLineNumbers w:val="0"/>
              <w:jc w:val="both"/>
              <w:rPr>
                <w:rFonts w:hint="eastAsia"/>
                <w:sz w:val="22"/>
                <w:szCs w:val="24"/>
                <w:lang w:val="en-US" w:eastAsia="zh-CN"/>
              </w:rPr>
            </w:pPr>
            <w:r>
              <w:rPr>
                <w:rFonts w:hint="eastAsia"/>
                <w:sz w:val="22"/>
                <w:szCs w:val="24"/>
                <w:lang w:val="en-US" w:eastAsia="zh-CN"/>
              </w:rPr>
              <w:t>6、高音单元不低于1×3"</w:t>
            </w:r>
          </w:p>
          <w:p w14:paraId="53C05A3F">
            <w:pPr>
              <w:keepNext w:val="0"/>
              <w:keepLines w:val="0"/>
              <w:widowControl/>
              <w:suppressLineNumbers w:val="0"/>
              <w:jc w:val="both"/>
              <w:rPr>
                <w:rFonts w:hint="eastAsia"/>
                <w:sz w:val="22"/>
                <w:szCs w:val="24"/>
                <w:lang w:val="en-US" w:eastAsia="zh-CN"/>
              </w:rPr>
            </w:pPr>
            <w:r>
              <w:rPr>
                <w:rFonts w:hint="eastAsia" w:asciiTheme="minorHAnsi" w:hAnsiTheme="minorHAnsi" w:eastAsiaTheme="minorEastAsia" w:cstheme="minorBidi"/>
                <w:kern w:val="2"/>
                <w:sz w:val="22"/>
                <w:szCs w:val="24"/>
                <w:lang w:val="en-US" w:eastAsia="zh-CN" w:bidi="ar-SA"/>
              </w:rPr>
              <w:t>无线话筒（一拖二）</w:t>
            </w:r>
            <w:r>
              <w:rPr>
                <w:rFonts w:hint="eastAsia" w:cstheme="minorBidi"/>
                <w:kern w:val="2"/>
                <w:sz w:val="22"/>
                <w:szCs w:val="24"/>
                <w:lang w:val="en-US" w:eastAsia="zh-CN" w:bidi="ar-SA"/>
              </w:rPr>
              <w:t>1套、</w:t>
            </w:r>
            <w:r>
              <w:rPr>
                <w:rFonts w:hint="eastAsia"/>
                <w:sz w:val="22"/>
                <w:szCs w:val="24"/>
                <w:lang w:val="en-US" w:eastAsia="zh-CN"/>
              </w:rPr>
              <w:t>手持、领夹、头带可选</w:t>
            </w:r>
          </w:p>
          <w:p w14:paraId="48303A29">
            <w:pPr>
              <w:keepNext w:val="0"/>
              <w:keepLines w:val="0"/>
              <w:widowControl/>
              <w:suppressLineNumbers w:val="0"/>
              <w:jc w:val="both"/>
              <w:rPr>
                <w:rFonts w:hint="eastAsia"/>
                <w:sz w:val="22"/>
                <w:szCs w:val="24"/>
                <w:lang w:val="en-US" w:eastAsia="zh-CN"/>
              </w:rPr>
            </w:pPr>
            <w:r>
              <w:rPr>
                <w:rFonts w:hint="eastAsia"/>
                <w:sz w:val="22"/>
                <w:szCs w:val="24"/>
                <w:lang w:val="en-US" w:eastAsia="zh-CN"/>
              </w:rPr>
              <w:t>1、DPLL数字锁相环多信道频率合成技术，避免串频现象</w:t>
            </w:r>
          </w:p>
          <w:p w14:paraId="223408CE">
            <w:pPr>
              <w:keepNext w:val="0"/>
              <w:keepLines w:val="0"/>
              <w:widowControl/>
              <w:suppressLineNumbers w:val="0"/>
              <w:jc w:val="both"/>
              <w:rPr>
                <w:rFonts w:hint="eastAsia"/>
                <w:sz w:val="22"/>
                <w:szCs w:val="24"/>
                <w:lang w:val="en-US" w:eastAsia="zh-CN"/>
              </w:rPr>
            </w:pPr>
            <w:r>
              <w:rPr>
                <w:rFonts w:hint="eastAsia"/>
                <w:sz w:val="22"/>
                <w:szCs w:val="24"/>
                <w:lang w:val="en-US" w:eastAsia="zh-CN"/>
              </w:rPr>
              <w:t>2、使用不劣于UHF640-689.900MHz频段，避免干扰频率，频宽不劣于49.9MHz，每个通道不少于500个频点可调，</w:t>
            </w:r>
          </w:p>
          <w:p w14:paraId="5AFF5510">
            <w:pPr>
              <w:keepNext w:val="0"/>
              <w:keepLines w:val="0"/>
              <w:widowControl/>
              <w:suppressLineNumbers w:val="0"/>
              <w:jc w:val="both"/>
              <w:rPr>
                <w:rFonts w:hint="eastAsia"/>
                <w:sz w:val="22"/>
                <w:szCs w:val="24"/>
                <w:lang w:val="en-US" w:eastAsia="zh-CN"/>
              </w:rPr>
            </w:pPr>
            <w:r>
              <w:rPr>
                <w:rFonts w:hint="eastAsia"/>
                <w:sz w:val="22"/>
                <w:szCs w:val="24"/>
                <w:lang w:val="en-US" w:eastAsia="zh-CN"/>
              </w:rPr>
              <w:t>3、本机采用2块TFT白底宽屏；</w:t>
            </w:r>
          </w:p>
          <w:p w14:paraId="3450F25E">
            <w:pPr>
              <w:keepNext w:val="0"/>
              <w:keepLines w:val="0"/>
              <w:widowControl/>
              <w:suppressLineNumbers w:val="0"/>
              <w:jc w:val="both"/>
              <w:rPr>
                <w:rFonts w:hint="eastAsia"/>
                <w:sz w:val="22"/>
                <w:szCs w:val="24"/>
                <w:lang w:val="en-US" w:eastAsia="zh-CN"/>
              </w:rPr>
            </w:pPr>
            <w:r>
              <w:rPr>
                <w:rFonts w:hint="eastAsia"/>
                <w:sz w:val="22"/>
                <w:szCs w:val="24"/>
                <w:lang w:val="en-US" w:eastAsia="zh-CN"/>
              </w:rPr>
              <w:t>4、RF信号、AF信号、天线、话筒电池电量、频率显示、通道显示、锁屏显示；</w:t>
            </w:r>
          </w:p>
          <w:p w14:paraId="2780C100">
            <w:pPr>
              <w:keepNext w:val="0"/>
              <w:keepLines w:val="0"/>
              <w:widowControl/>
              <w:suppressLineNumbers w:val="0"/>
              <w:jc w:val="both"/>
              <w:rPr>
                <w:rFonts w:hint="eastAsia"/>
                <w:sz w:val="22"/>
                <w:szCs w:val="24"/>
                <w:lang w:val="en-US" w:eastAsia="zh-CN"/>
              </w:rPr>
            </w:pPr>
            <w:r>
              <w:rPr>
                <w:rFonts w:hint="eastAsia"/>
                <w:sz w:val="22"/>
                <w:szCs w:val="24"/>
                <w:lang w:val="en-US" w:eastAsia="zh-CN"/>
              </w:rPr>
              <w:t>5、接收器前面板自带不少于1个电源开关，每个通道自带不少于1个UP按键、不少于1个SET按键、不少于1个DOWN按键、每个通道带一个音量旋钮、不少于1个红外对频接收窗；</w:t>
            </w:r>
          </w:p>
          <w:p w14:paraId="0EBAA8F3">
            <w:pPr>
              <w:keepNext w:val="0"/>
              <w:keepLines w:val="0"/>
              <w:widowControl/>
              <w:suppressLineNumbers w:val="0"/>
              <w:jc w:val="both"/>
              <w:rPr>
                <w:rFonts w:hint="eastAsia"/>
                <w:sz w:val="22"/>
                <w:szCs w:val="24"/>
                <w:lang w:val="en-US" w:eastAsia="zh-CN"/>
              </w:rPr>
            </w:pPr>
            <w:r>
              <w:rPr>
                <w:rFonts w:hint="eastAsia"/>
                <w:sz w:val="22"/>
                <w:szCs w:val="24"/>
                <w:lang w:val="en-US" w:eastAsia="zh-CN"/>
              </w:rPr>
              <w:t>6、接收器参数：载波频段不劣于640-689.900MHz</w:t>
            </w:r>
          </w:p>
          <w:p w14:paraId="620549B4">
            <w:pPr>
              <w:keepNext w:val="0"/>
              <w:keepLines w:val="0"/>
              <w:widowControl/>
              <w:suppressLineNumbers w:val="0"/>
              <w:jc w:val="both"/>
              <w:rPr>
                <w:rFonts w:hint="eastAsia"/>
                <w:sz w:val="22"/>
                <w:szCs w:val="24"/>
                <w:lang w:val="en-US" w:eastAsia="zh-CN"/>
              </w:rPr>
            </w:pPr>
            <w:r>
              <w:rPr>
                <w:rFonts w:hint="eastAsia"/>
                <w:sz w:val="22"/>
                <w:szCs w:val="24"/>
                <w:lang w:val="en-US" w:eastAsia="zh-CN"/>
              </w:rPr>
              <w:t>7、频宽不劣于49.9Hz</w:t>
            </w:r>
          </w:p>
          <w:p w14:paraId="3C7BFDD5">
            <w:pPr>
              <w:keepNext w:val="0"/>
              <w:keepLines w:val="0"/>
              <w:widowControl/>
              <w:suppressLineNumbers w:val="0"/>
              <w:jc w:val="both"/>
              <w:rPr>
                <w:rFonts w:hint="eastAsia"/>
                <w:sz w:val="22"/>
                <w:szCs w:val="24"/>
                <w:lang w:val="en-US" w:eastAsia="zh-CN"/>
              </w:rPr>
            </w:pPr>
            <w:r>
              <w:rPr>
                <w:rFonts w:hint="eastAsia"/>
                <w:sz w:val="22"/>
                <w:szCs w:val="24"/>
                <w:lang w:val="en-US" w:eastAsia="zh-CN"/>
              </w:rPr>
              <w:t>8、天线：接收机后面板自带不少于2个螺纹天线端口：ANT-A、ANT-B，2根640-690MHz天线</w:t>
            </w:r>
          </w:p>
          <w:p w14:paraId="0D80377A">
            <w:pPr>
              <w:keepNext w:val="0"/>
              <w:keepLines w:val="0"/>
              <w:widowControl/>
              <w:suppressLineNumbers w:val="0"/>
              <w:jc w:val="both"/>
              <w:rPr>
                <w:rFonts w:hint="eastAsia"/>
                <w:sz w:val="22"/>
                <w:szCs w:val="24"/>
                <w:lang w:val="en-US" w:eastAsia="zh-CN"/>
              </w:rPr>
            </w:pPr>
            <w:r>
              <w:rPr>
                <w:rFonts w:hint="eastAsia"/>
                <w:sz w:val="22"/>
                <w:szCs w:val="24"/>
                <w:lang w:val="en-US" w:eastAsia="zh-CN"/>
              </w:rPr>
              <w:t>9、发射机参数：载波频段不劣于640-689.900MHz；频宽不劣于49.9Hz</w:t>
            </w:r>
          </w:p>
          <w:p w14:paraId="64580FD2">
            <w:pPr>
              <w:keepNext w:val="0"/>
              <w:keepLines w:val="0"/>
              <w:widowControl/>
              <w:suppressLineNumbers w:val="0"/>
              <w:jc w:val="both"/>
              <w:rPr>
                <w:rFonts w:hint="eastAsia"/>
                <w:sz w:val="22"/>
                <w:szCs w:val="24"/>
                <w:lang w:val="en-US" w:eastAsia="zh-CN"/>
              </w:rPr>
            </w:pPr>
            <w:r>
              <w:rPr>
                <w:rFonts w:hint="eastAsia"/>
                <w:sz w:val="22"/>
                <w:szCs w:val="24"/>
                <w:lang w:val="en-US" w:eastAsia="zh-CN"/>
              </w:rPr>
              <w:t>10、对频：红外线同步</w:t>
            </w:r>
          </w:p>
          <w:p w14:paraId="3CE553B0">
            <w:pPr>
              <w:keepNext w:val="0"/>
              <w:keepLines w:val="0"/>
              <w:widowControl/>
              <w:suppressLineNumbers w:val="0"/>
              <w:jc w:val="both"/>
              <w:rPr>
                <w:rFonts w:hint="eastAsia"/>
                <w:sz w:val="22"/>
                <w:szCs w:val="24"/>
                <w:lang w:val="en-US" w:eastAsia="zh-CN"/>
              </w:rPr>
            </w:pPr>
            <w:r>
              <w:rPr>
                <w:rFonts w:hint="eastAsia"/>
                <w:sz w:val="22"/>
                <w:szCs w:val="24"/>
                <w:lang w:val="en-US" w:eastAsia="zh-CN"/>
              </w:rPr>
              <w:t>11、显示屏：可显示频率、电池电量、静音、发射功率等信息</w:t>
            </w:r>
          </w:p>
          <w:p w14:paraId="192EA705">
            <w:pPr>
              <w:keepNext w:val="0"/>
              <w:keepLines w:val="0"/>
              <w:widowControl/>
              <w:suppressLineNumbers w:val="0"/>
              <w:jc w:val="both"/>
              <w:rPr>
                <w:rFonts w:hint="default" w:asciiTheme="minorHAnsi" w:hAnsiTheme="minorHAnsi" w:eastAsiaTheme="minorEastAsia" w:cstheme="minorBidi"/>
                <w:kern w:val="2"/>
                <w:sz w:val="22"/>
                <w:szCs w:val="24"/>
                <w:lang w:val="en-US" w:eastAsia="zh-CN" w:bidi="ar-SA"/>
              </w:rPr>
            </w:pPr>
            <w:r>
              <w:rPr>
                <w:rFonts w:hint="eastAsia" w:asciiTheme="minorHAnsi" w:hAnsiTheme="minorHAnsi" w:eastAsiaTheme="minorEastAsia" w:cstheme="minorBidi"/>
                <w:kern w:val="2"/>
                <w:sz w:val="22"/>
                <w:szCs w:val="24"/>
                <w:lang w:val="en-US" w:eastAsia="zh-CN" w:bidi="ar-SA"/>
              </w:rPr>
              <w:t>两通道功放</w:t>
            </w:r>
            <w:r>
              <w:rPr>
                <w:rFonts w:hint="eastAsia" w:cstheme="minorBidi"/>
                <w:kern w:val="2"/>
                <w:sz w:val="22"/>
                <w:szCs w:val="24"/>
                <w:lang w:val="en-US" w:eastAsia="zh-CN" w:bidi="ar-SA"/>
              </w:rPr>
              <w:t>1台</w:t>
            </w:r>
          </w:p>
          <w:p w14:paraId="0A95A2C1">
            <w:pPr>
              <w:keepNext w:val="0"/>
              <w:keepLines w:val="0"/>
              <w:widowControl/>
              <w:suppressLineNumbers w:val="0"/>
              <w:jc w:val="both"/>
              <w:rPr>
                <w:rFonts w:hint="eastAsia"/>
                <w:sz w:val="22"/>
                <w:szCs w:val="24"/>
                <w:lang w:val="en-US" w:eastAsia="zh-CN"/>
              </w:rPr>
            </w:pPr>
            <w:r>
              <w:rPr>
                <w:rFonts w:hint="eastAsia"/>
                <w:sz w:val="22"/>
                <w:szCs w:val="24"/>
                <w:lang w:val="en-US" w:eastAsia="zh-CN"/>
              </w:rPr>
              <w:t>1、不少于3段式均衡调节，使声音效果调节更加灵活</w:t>
            </w:r>
          </w:p>
          <w:p w14:paraId="219C423F">
            <w:pPr>
              <w:keepNext w:val="0"/>
              <w:keepLines w:val="0"/>
              <w:widowControl/>
              <w:suppressLineNumbers w:val="0"/>
              <w:jc w:val="both"/>
              <w:rPr>
                <w:rFonts w:hint="eastAsia"/>
                <w:sz w:val="22"/>
                <w:szCs w:val="24"/>
                <w:lang w:val="en-US" w:eastAsia="zh-CN"/>
              </w:rPr>
            </w:pPr>
            <w:r>
              <w:rPr>
                <w:rFonts w:hint="eastAsia"/>
                <w:sz w:val="22"/>
                <w:szCs w:val="24"/>
                <w:lang w:val="en-US" w:eastAsia="zh-CN"/>
              </w:rPr>
              <w:t>2、具有USB数字音频接口，支持MP3播放，支持蓝牙播放</w:t>
            </w:r>
          </w:p>
          <w:p w14:paraId="7427B16D">
            <w:pPr>
              <w:keepNext w:val="0"/>
              <w:keepLines w:val="0"/>
              <w:widowControl/>
              <w:suppressLineNumbers w:val="0"/>
              <w:jc w:val="both"/>
              <w:rPr>
                <w:rFonts w:hint="eastAsia"/>
                <w:sz w:val="22"/>
                <w:szCs w:val="24"/>
                <w:lang w:val="en-US" w:eastAsia="zh-CN"/>
              </w:rPr>
            </w:pPr>
            <w:r>
              <w:rPr>
                <w:rFonts w:hint="eastAsia"/>
                <w:sz w:val="22"/>
                <w:szCs w:val="24"/>
                <w:lang w:val="en-US" w:eastAsia="zh-CN"/>
              </w:rPr>
              <w:t>3、机器自带反馈抑制功能，方便抑制话筒啸叫</w:t>
            </w:r>
          </w:p>
          <w:p w14:paraId="023E5B0A">
            <w:pPr>
              <w:keepNext w:val="0"/>
              <w:keepLines w:val="0"/>
              <w:widowControl/>
              <w:suppressLineNumbers w:val="0"/>
              <w:jc w:val="both"/>
              <w:rPr>
                <w:rFonts w:hint="eastAsia"/>
                <w:sz w:val="22"/>
                <w:szCs w:val="24"/>
                <w:lang w:val="en-US" w:eastAsia="zh-CN"/>
              </w:rPr>
            </w:pPr>
            <w:r>
              <w:rPr>
                <w:rFonts w:hint="eastAsia"/>
                <w:sz w:val="22"/>
                <w:szCs w:val="24"/>
                <w:lang w:val="en-US" w:eastAsia="zh-CN"/>
              </w:rPr>
              <w:t>▲4、输入：具有不少于6路MIC输入，带隐藏式电平调节；不少于2路立体声线路输入，带隐藏式电平调节</w:t>
            </w:r>
          </w:p>
          <w:p w14:paraId="7363AF4E">
            <w:pPr>
              <w:keepNext w:val="0"/>
              <w:keepLines w:val="0"/>
              <w:widowControl/>
              <w:suppressLineNumbers w:val="0"/>
              <w:jc w:val="both"/>
              <w:rPr>
                <w:rFonts w:hint="eastAsia"/>
                <w:sz w:val="22"/>
                <w:szCs w:val="24"/>
                <w:lang w:val="en-US" w:eastAsia="zh-CN"/>
              </w:rPr>
            </w:pPr>
            <w:r>
              <w:rPr>
                <w:rFonts w:hint="eastAsia"/>
                <w:sz w:val="22"/>
                <w:szCs w:val="24"/>
                <w:lang w:val="en-US" w:eastAsia="zh-CN"/>
              </w:rPr>
              <w:t>▲5、支持USB、蓝牙播放，可扩展光纤输入、同轴输入。</w:t>
            </w:r>
          </w:p>
          <w:p w14:paraId="2EE97D99">
            <w:pPr>
              <w:keepNext w:val="0"/>
              <w:keepLines w:val="0"/>
              <w:widowControl/>
              <w:suppressLineNumbers w:val="0"/>
              <w:jc w:val="both"/>
              <w:rPr>
                <w:rFonts w:hint="eastAsia"/>
                <w:sz w:val="22"/>
                <w:szCs w:val="24"/>
                <w:lang w:val="en-US" w:eastAsia="zh-CN"/>
              </w:rPr>
            </w:pPr>
            <w:r>
              <w:rPr>
                <w:rFonts w:hint="eastAsia"/>
                <w:sz w:val="22"/>
                <w:szCs w:val="24"/>
                <w:lang w:val="en-US" w:eastAsia="zh-CN"/>
              </w:rPr>
              <w:t xml:space="preserve">6、输出：具有不少于1路立体声录音输出，具有不少于4路音箱输出接口。 </w:t>
            </w:r>
          </w:p>
          <w:p w14:paraId="33AF0A9C">
            <w:pPr>
              <w:keepNext w:val="0"/>
              <w:keepLines w:val="0"/>
              <w:widowControl/>
              <w:suppressLineNumbers w:val="0"/>
              <w:jc w:val="both"/>
              <w:rPr>
                <w:rFonts w:hint="eastAsia"/>
                <w:sz w:val="22"/>
                <w:szCs w:val="24"/>
                <w:lang w:val="en-US" w:eastAsia="zh-CN"/>
              </w:rPr>
            </w:pPr>
            <w:r>
              <w:rPr>
                <w:rFonts w:hint="eastAsia"/>
                <w:sz w:val="22"/>
                <w:szCs w:val="24"/>
                <w:lang w:val="en-US" w:eastAsia="zh-CN"/>
              </w:rPr>
              <w:t>▲7、内置DSP回声效果。</w:t>
            </w:r>
          </w:p>
          <w:p w14:paraId="22FFDA65">
            <w:pPr>
              <w:keepNext w:val="0"/>
              <w:keepLines w:val="0"/>
              <w:widowControl/>
              <w:suppressLineNumbers w:val="0"/>
              <w:jc w:val="both"/>
              <w:rPr>
                <w:rFonts w:hint="eastAsia"/>
                <w:sz w:val="22"/>
                <w:szCs w:val="24"/>
                <w:lang w:val="en-US" w:eastAsia="zh-CN"/>
              </w:rPr>
            </w:pPr>
            <w:r>
              <w:rPr>
                <w:rFonts w:hint="eastAsia"/>
                <w:sz w:val="22"/>
                <w:szCs w:val="24"/>
                <w:lang w:val="en-US" w:eastAsia="zh-CN"/>
              </w:rPr>
              <w:t>8、额定功率：（立体声）8Ω：不少于200W×2、4Ω：不少于350W×2</w:t>
            </w:r>
          </w:p>
          <w:p w14:paraId="14F65019">
            <w:pPr>
              <w:keepNext w:val="0"/>
              <w:keepLines w:val="0"/>
              <w:widowControl/>
              <w:suppressLineNumbers w:val="0"/>
              <w:jc w:val="both"/>
              <w:rPr>
                <w:rFonts w:hint="eastAsia"/>
                <w:sz w:val="22"/>
                <w:szCs w:val="24"/>
                <w:lang w:val="en-US" w:eastAsia="zh-CN"/>
              </w:rPr>
            </w:pPr>
            <w:r>
              <w:rPr>
                <w:rFonts w:hint="eastAsia"/>
                <w:sz w:val="22"/>
                <w:szCs w:val="24"/>
                <w:lang w:val="en-US" w:eastAsia="zh-CN"/>
              </w:rPr>
              <w:t>▲9、信噪比：线路：不少于90 dB（A计权）、话筒：不少于78 dB（A计权）</w:t>
            </w:r>
          </w:p>
          <w:p w14:paraId="0E72D04E">
            <w:pPr>
              <w:keepNext w:val="0"/>
              <w:keepLines w:val="0"/>
              <w:widowControl/>
              <w:suppressLineNumbers w:val="0"/>
              <w:jc w:val="both"/>
              <w:rPr>
                <w:rFonts w:hint="eastAsia"/>
                <w:sz w:val="22"/>
                <w:szCs w:val="24"/>
                <w:lang w:val="en-US" w:eastAsia="zh-CN"/>
              </w:rPr>
            </w:pPr>
            <w:r>
              <w:rPr>
                <w:rFonts w:hint="eastAsia"/>
                <w:sz w:val="22"/>
                <w:szCs w:val="24"/>
                <w:lang w:val="en-US" w:eastAsia="zh-CN"/>
              </w:rPr>
              <w:t>10、包含安装调试维护1项、HDMI线1条2米、HDMI线3条各15米、HDMI分配器1台、电源线1项、投影支架1副，需包含将学校现有的投影、2台触控一体机、电脑连接安装所需要的全部线材辅材。</w:t>
            </w:r>
          </w:p>
        </w:tc>
      </w:tr>
    </w:tbl>
    <w:p w14:paraId="79A602D8">
      <w:pPr>
        <w:rPr>
          <w:rFonts w:asciiTheme="minorEastAsia" w:hAnsiTheme="minorEastAsia"/>
          <w:sz w:val="20"/>
          <w:szCs w:val="20"/>
        </w:rPr>
      </w:pPr>
    </w:p>
    <w:p w14:paraId="22475AFE">
      <w:pPr>
        <w:rPr>
          <w:rFonts w:asciiTheme="minorEastAsia" w:hAnsiTheme="minorEastAsia"/>
          <w:sz w:val="20"/>
          <w:szCs w:val="20"/>
        </w:rPr>
      </w:pPr>
    </w:p>
    <w:sectPr>
      <w:pgSz w:w="11906" w:h="16838"/>
      <w:pgMar w:top="1440" w:right="1286" w:bottom="1440"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2FD"/>
    <w:rsid w:val="00044A47"/>
    <w:rsid w:val="00065BEE"/>
    <w:rsid w:val="000663E3"/>
    <w:rsid w:val="000C29A7"/>
    <w:rsid w:val="000C4FD7"/>
    <w:rsid w:val="000F67B1"/>
    <w:rsid w:val="0010445D"/>
    <w:rsid w:val="00136CA0"/>
    <w:rsid w:val="00152A57"/>
    <w:rsid w:val="001D523C"/>
    <w:rsid w:val="001F15A1"/>
    <w:rsid w:val="00207369"/>
    <w:rsid w:val="00292508"/>
    <w:rsid w:val="002D4544"/>
    <w:rsid w:val="0031093F"/>
    <w:rsid w:val="003239A3"/>
    <w:rsid w:val="00333681"/>
    <w:rsid w:val="003406F4"/>
    <w:rsid w:val="00341B74"/>
    <w:rsid w:val="00345EF6"/>
    <w:rsid w:val="003C790A"/>
    <w:rsid w:val="003D439A"/>
    <w:rsid w:val="003D673B"/>
    <w:rsid w:val="003E2110"/>
    <w:rsid w:val="00407E4F"/>
    <w:rsid w:val="0047456F"/>
    <w:rsid w:val="004A4B0D"/>
    <w:rsid w:val="004D2004"/>
    <w:rsid w:val="004D2B40"/>
    <w:rsid w:val="00562B72"/>
    <w:rsid w:val="00562CCC"/>
    <w:rsid w:val="00563839"/>
    <w:rsid w:val="005A76FC"/>
    <w:rsid w:val="00632ECC"/>
    <w:rsid w:val="00650D0F"/>
    <w:rsid w:val="0067033E"/>
    <w:rsid w:val="00674641"/>
    <w:rsid w:val="006954DB"/>
    <w:rsid w:val="006A5DDD"/>
    <w:rsid w:val="006B28AA"/>
    <w:rsid w:val="006C079B"/>
    <w:rsid w:val="00763658"/>
    <w:rsid w:val="00773ED0"/>
    <w:rsid w:val="007748E1"/>
    <w:rsid w:val="00780DA0"/>
    <w:rsid w:val="007B32FD"/>
    <w:rsid w:val="007C057F"/>
    <w:rsid w:val="007D7A69"/>
    <w:rsid w:val="007E38AA"/>
    <w:rsid w:val="007F59F2"/>
    <w:rsid w:val="00834CBC"/>
    <w:rsid w:val="008875CD"/>
    <w:rsid w:val="008957F5"/>
    <w:rsid w:val="008B228F"/>
    <w:rsid w:val="008F2099"/>
    <w:rsid w:val="00904FE1"/>
    <w:rsid w:val="00907FB0"/>
    <w:rsid w:val="00912C0B"/>
    <w:rsid w:val="0093076D"/>
    <w:rsid w:val="00936251"/>
    <w:rsid w:val="009D1493"/>
    <w:rsid w:val="009D600D"/>
    <w:rsid w:val="009D72FB"/>
    <w:rsid w:val="009E7C91"/>
    <w:rsid w:val="00A56693"/>
    <w:rsid w:val="00AD78A1"/>
    <w:rsid w:val="00B17D7A"/>
    <w:rsid w:val="00BD4292"/>
    <w:rsid w:val="00BE7044"/>
    <w:rsid w:val="00C1173A"/>
    <w:rsid w:val="00C74B35"/>
    <w:rsid w:val="00C761B9"/>
    <w:rsid w:val="00CB7B86"/>
    <w:rsid w:val="00CC4C24"/>
    <w:rsid w:val="00CE14A7"/>
    <w:rsid w:val="00CE2B64"/>
    <w:rsid w:val="00CE5D93"/>
    <w:rsid w:val="00CF3F16"/>
    <w:rsid w:val="00CF7D82"/>
    <w:rsid w:val="00D0338F"/>
    <w:rsid w:val="00D445F7"/>
    <w:rsid w:val="00D63B94"/>
    <w:rsid w:val="00D91E97"/>
    <w:rsid w:val="00E26A20"/>
    <w:rsid w:val="00E8350A"/>
    <w:rsid w:val="00E877C1"/>
    <w:rsid w:val="00EC1909"/>
    <w:rsid w:val="00EC2F48"/>
    <w:rsid w:val="00F57317"/>
    <w:rsid w:val="00F726EC"/>
    <w:rsid w:val="00F74E06"/>
    <w:rsid w:val="00F80426"/>
    <w:rsid w:val="00F91F2D"/>
    <w:rsid w:val="00FD0871"/>
    <w:rsid w:val="029167E5"/>
    <w:rsid w:val="02E02D8D"/>
    <w:rsid w:val="02EC4072"/>
    <w:rsid w:val="092B34F0"/>
    <w:rsid w:val="09450261"/>
    <w:rsid w:val="0B2D510D"/>
    <w:rsid w:val="1B4703AD"/>
    <w:rsid w:val="1B9207E0"/>
    <w:rsid w:val="2006445F"/>
    <w:rsid w:val="347F11B5"/>
    <w:rsid w:val="37E666B0"/>
    <w:rsid w:val="38E30E42"/>
    <w:rsid w:val="3B1F7721"/>
    <w:rsid w:val="4A623516"/>
    <w:rsid w:val="4AFA0FDB"/>
    <w:rsid w:val="51FD7E33"/>
    <w:rsid w:val="531142C8"/>
    <w:rsid w:val="586F3068"/>
    <w:rsid w:val="59DF3709"/>
    <w:rsid w:val="5A9C7D29"/>
    <w:rsid w:val="62427700"/>
    <w:rsid w:val="660C67B4"/>
    <w:rsid w:val="6F6B46B1"/>
    <w:rsid w:val="74E3074C"/>
    <w:rsid w:val="7D913F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nhideWhenUsed="0" w:uiPriority="99" w:semiHidden="0" w:name="Strong"/>
    <w:lsdException w:unhideWhenUsed="0" w:uiPriority="99"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styleId="9">
    <w:name w:val="List Paragraph"/>
    <w:basedOn w:val="1"/>
    <w:unhideWhenUsed/>
    <w:qFormat/>
    <w:uiPriority w:val="99"/>
    <w:pPr>
      <w:ind w:firstLine="420" w:firstLineChars="200"/>
    </w:pPr>
  </w:style>
  <w:style w:type="character" w:customStyle="1" w:styleId="10">
    <w:name w:val="font41"/>
    <w:basedOn w:val="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271</Words>
  <Characters>352</Characters>
  <Lines>39</Lines>
  <Paragraphs>11</Paragraphs>
  <TotalTime>1</TotalTime>
  <ScaleCrop>false</ScaleCrop>
  <LinksUpToDate>false</LinksUpToDate>
  <CharactersWithSpaces>363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2024-04-09T05:55:00Z</dcterms:created>
  <dc:creator>林 志鹏</dc:creator>
  <cp:lastModifiedBy>刘小兰</cp:lastModifiedBy>
  <dcterms:modified xsi:type="dcterms:W3CDTF">2026-09-22T00:28:04Z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eyJoZGlkIjoiOGY1Mjg0NjI1MjIwMzliZjY5ZjFmNjFkNzA3YTg1MzgiLCJ1c2VySWQiOiIxNTY5MDQ1MTQ4In0=</vt:lpwstr>
  </property>
  <property fmtid="{D5CDD505-2E9C-101B-9397-08002B2CF9AE}" pid="3" name="KSOProductBuildVer">
    <vt:lpwstr>2052-12.1.0.28505</vt:lpwstr>
  </property>
  <property fmtid="{D5CDD505-2E9C-101B-9397-08002B2CF9AE}" pid="4" name="ICV">
    <vt:lpwstr>454AC238754443C7BF82950310B0D777_12</vt:lpwstr>
  </property>
</Properties>
</file>