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B2740">
      <w:pPr>
        <w:adjustRightInd w:val="0"/>
        <w:snapToGrid w:val="0"/>
        <w:spacing w:after="0" w:line="360" w:lineRule="auto"/>
        <w:jc w:val="right"/>
        <w:rPr>
          <w:rFonts w:hint="eastAsia" w:ascii="宋体" w:hAnsi="宋体" w:eastAsia="宋体"/>
          <w:sz w:val="24"/>
        </w:rPr>
      </w:pPr>
    </w:p>
    <w:p w14:paraId="6E13C342">
      <w:pPr>
        <w:widowControl/>
        <w:jc w:val="center"/>
        <w:rPr>
          <w:rFonts w:hint="eastAsia" w:ascii="宋体" w:hAnsi="宋体" w:eastAsia="宋体"/>
          <w:b/>
          <w:bCs/>
          <w:sz w:val="28"/>
          <w:szCs w:val="28"/>
        </w:rPr>
      </w:pPr>
      <w:r>
        <w:rPr>
          <w:rFonts w:hint="eastAsia" w:ascii="宋体" w:hAnsi="宋体" w:eastAsia="宋体"/>
          <w:b/>
          <w:bCs/>
          <w:sz w:val="28"/>
          <w:szCs w:val="28"/>
        </w:rPr>
        <w:t>评分细则表</w:t>
      </w:r>
    </w:p>
    <w:tbl>
      <w:tblPr>
        <w:tblStyle w:val="18"/>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352"/>
        <w:gridCol w:w="4535"/>
        <w:gridCol w:w="850"/>
        <w:gridCol w:w="850"/>
      </w:tblGrid>
      <w:tr w14:paraId="1F04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14:paraId="687FE3DA">
            <w:pPr>
              <w:adjustRightInd w:val="0"/>
              <w:snapToGrid w:val="0"/>
              <w:spacing w:after="0" w:line="360" w:lineRule="auto"/>
              <w:jc w:val="center"/>
              <w:rPr>
                <w:rFonts w:hint="eastAsia" w:ascii="宋体" w:hAnsi="宋体" w:eastAsia="宋体"/>
                <w:b/>
                <w:bCs/>
                <w:sz w:val="24"/>
              </w:rPr>
            </w:pPr>
            <w:r>
              <w:rPr>
                <w:rFonts w:hint="eastAsia" w:ascii="宋体" w:hAnsi="宋体" w:eastAsia="宋体"/>
                <w:b/>
                <w:bCs/>
                <w:sz w:val="24"/>
              </w:rPr>
              <w:t>序号</w:t>
            </w:r>
          </w:p>
        </w:tc>
        <w:tc>
          <w:tcPr>
            <w:tcW w:w="1352" w:type="dxa"/>
          </w:tcPr>
          <w:p w14:paraId="0D550D59">
            <w:pPr>
              <w:adjustRightInd w:val="0"/>
              <w:snapToGrid w:val="0"/>
              <w:spacing w:after="0" w:line="360" w:lineRule="auto"/>
              <w:jc w:val="center"/>
              <w:rPr>
                <w:rFonts w:hint="eastAsia" w:ascii="宋体" w:hAnsi="宋体" w:eastAsia="宋体"/>
                <w:b/>
                <w:bCs/>
                <w:sz w:val="24"/>
              </w:rPr>
            </w:pPr>
            <w:r>
              <w:rPr>
                <w:rFonts w:ascii="宋体" w:hAnsi="宋体" w:eastAsia="宋体"/>
                <w:b/>
                <w:bCs/>
                <w:spacing w:val="1"/>
                <w:sz w:val="24"/>
              </w:rPr>
              <w:t>评分因素</w:t>
            </w:r>
          </w:p>
        </w:tc>
        <w:tc>
          <w:tcPr>
            <w:tcW w:w="4535" w:type="dxa"/>
          </w:tcPr>
          <w:p w14:paraId="12EDB912">
            <w:pPr>
              <w:adjustRightInd w:val="0"/>
              <w:snapToGrid w:val="0"/>
              <w:spacing w:after="0" w:line="360" w:lineRule="auto"/>
              <w:jc w:val="center"/>
              <w:rPr>
                <w:rFonts w:hint="eastAsia" w:ascii="宋体" w:hAnsi="宋体" w:eastAsia="宋体"/>
                <w:b/>
                <w:bCs/>
                <w:sz w:val="24"/>
              </w:rPr>
            </w:pPr>
            <w:r>
              <w:rPr>
                <w:rFonts w:ascii="宋体" w:hAnsi="宋体" w:eastAsia="宋体"/>
                <w:b/>
                <w:bCs/>
                <w:spacing w:val="4"/>
                <w:sz w:val="24"/>
              </w:rPr>
              <w:t>评分准则</w:t>
            </w:r>
          </w:p>
        </w:tc>
        <w:tc>
          <w:tcPr>
            <w:tcW w:w="850" w:type="dxa"/>
          </w:tcPr>
          <w:p w14:paraId="44E1A1AF">
            <w:pPr>
              <w:adjustRightInd w:val="0"/>
              <w:snapToGrid w:val="0"/>
              <w:spacing w:after="0" w:line="360" w:lineRule="auto"/>
              <w:jc w:val="center"/>
              <w:rPr>
                <w:rFonts w:hint="eastAsia" w:ascii="宋体" w:hAnsi="宋体" w:eastAsia="宋体"/>
                <w:b/>
                <w:bCs/>
                <w:sz w:val="24"/>
              </w:rPr>
            </w:pPr>
            <w:r>
              <w:rPr>
                <w:rFonts w:ascii="宋体" w:hAnsi="宋体" w:eastAsia="宋体"/>
                <w:b/>
                <w:bCs/>
                <w:sz w:val="24"/>
              </w:rPr>
              <w:t>权重</w:t>
            </w:r>
          </w:p>
        </w:tc>
        <w:tc>
          <w:tcPr>
            <w:tcW w:w="850" w:type="dxa"/>
          </w:tcPr>
          <w:p w14:paraId="34BE6E02">
            <w:pPr>
              <w:adjustRightInd w:val="0"/>
              <w:snapToGrid w:val="0"/>
              <w:spacing w:after="0" w:line="360" w:lineRule="auto"/>
              <w:jc w:val="center"/>
              <w:rPr>
                <w:rFonts w:hint="eastAsia" w:ascii="宋体" w:hAnsi="宋体" w:eastAsia="宋体"/>
                <w:b/>
                <w:bCs/>
                <w:sz w:val="24"/>
              </w:rPr>
            </w:pPr>
            <w:r>
              <w:rPr>
                <w:rFonts w:hint="eastAsia" w:ascii="宋体" w:hAnsi="宋体" w:eastAsia="宋体"/>
                <w:b/>
                <w:bCs/>
                <w:sz w:val="24"/>
              </w:rPr>
              <w:t>评分</w:t>
            </w:r>
          </w:p>
        </w:tc>
      </w:tr>
      <w:tr w14:paraId="3719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0CE00749">
            <w:pPr>
              <w:pStyle w:val="33"/>
              <w:numPr>
                <w:ilvl w:val="0"/>
                <w:numId w:val="1"/>
              </w:numPr>
              <w:adjustRightInd w:val="0"/>
              <w:snapToGrid w:val="0"/>
              <w:spacing w:after="0" w:line="360" w:lineRule="auto"/>
              <w:jc w:val="center"/>
              <w:rPr>
                <w:rFonts w:hint="eastAsia" w:ascii="宋体" w:hAnsi="宋体" w:eastAsia="宋体"/>
                <w:sz w:val="24"/>
              </w:rPr>
            </w:pPr>
          </w:p>
        </w:tc>
        <w:tc>
          <w:tcPr>
            <w:tcW w:w="1352" w:type="dxa"/>
            <w:vAlign w:val="center"/>
          </w:tcPr>
          <w:p w14:paraId="098444BA">
            <w:pPr>
              <w:adjustRightInd w:val="0"/>
              <w:snapToGrid w:val="0"/>
              <w:spacing w:after="0" w:line="360" w:lineRule="auto"/>
              <w:jc w:val="center"/>
              <w:rPr>
                <w:rFonts w:hint="eastAsia" w:ascii="宋体" w:hAnsi="宋体" w:eastAsia="宋体"/>
                <w:sz w:val="24"/>
              </w:rPr>
            </w:pPr>
            <w:r>
              <w:rPr>
                <w:rFonts w:hint="eastAsia" w:ascii="宋体" w:hAnsi="宋体" w:eastAsia="宋体"/>
                <w:sz w:val="24"/>
              </w:rPr>
              <w:t>投标报价</w:t>
            </w:r>
          </w:p>
        </w:tc>
        <w:tc>
          <w:tcPr>
            <w:tcW w:w="4535" w:type="dxa"/>
            <w:vAlign w:val="center"/>
          </w:tcPr>
          <w:p w14:paraId="1BF3C3BC">
            <w:pPr>
              <w:adjustRightInd w:val="0"/>
              <w:snapToGrid w:val="0"/>
              <w:spacing w:after="0" w:line="360" w:lineRule="auto"/>
              <w:jc w:val="both"/>
              <w:rPr>
                <w:rFonts w:hint="eastAsia" w:ascii="宋体" w:hAnsi="宋体" w:eastAsia="宋体"/>
                <w:b/>
                <w:bCs/>
                <w:sz w:val="24"/>
              </w:rPr>
            </w:pPr>
            <w:r>
              <w:rPr>
                <w:rFonts w:hint="eastAsia" w:ascii="宋体" w:hAnsi="宋体" w:eastAsia="宋体"/>
                <w:b/>
                <w:bCs/>
                <w:sz w:val="24"/>
              </w:rPr>
              <w:t>评审内容：</w:t>
            </w:r>
          </w:p>
          <w:p w14:paraId="324D58CE">
            <w:pPr>
              <w:adjustRightInd w:val="0"/>
              <w:snapToGrid w:val="0"/>
              <w:spacing w:after="0" w:line="360" w:lineRule="auto"/>
              <w:jc w:val="both"/>
              <w:rPr>
                <w:rFonts w:hint="eastAsia" w:ascii="宋体" w:hAnsi="宋体" w:eastAsia="宋体"/>
                <w:sz w:val="24"/>
              </w:rPr>
            </w:pPr>
            <w:r>
              <w:rPr>
                <w:rFonts w:hint="eastAsia" w:ascii="宋体" w:hAnsi="宋体" w:eastAsia="宋体"/>
                <w:sz w:val="24"/>
              </w:rPr>
              <w:t>价格分计算方法：采用低价优先法计算，即满足招标文件要求且投标价格最低的投标报价为评标基准价，其价格分为满分。其他投标人的价格分统一按照下列公式计算:投标报价得分=(评标基准价/投标报价)×15。</w:t>
            </w:r>
          </w:p>
        </w:tc>
        <w:tc>
          <w:tcPr>
            <w:tcW w:w="850" w:type="dxa"/>
            <w:vAlign w:val="center"/>
          </w:tcPr>
          <w:p w14:paraId="5C54AA61">
            <w:pPr>
              <w:adjustRightInd w:val="0"/>
              <w:snapToGrid w:val="0"/>
              <w:spacing w:after="0" w:line="360" w:lineRule="auto"/>
              <w:jc w:val="center"/>
              <w:rPr>
                <w:rFonts w:hint="eastAsia" w:ascii="宋体" w:hAnsi="宋体" w:eastAsia="宋体"/>
                <w:sz w:val="24"/>
              </w:rPr>
            </w:pPr>
            <w:r>
              <w:rPr>
                <w:rFonts w:hint="eastAsia" w:ascii="宋体" w:hAnsi="宋体" w:eastAsia="宋体"/>
                <w:sz w:val="24"/>
              </w:rPr>
              <w:t>15</w:t>
            </w:r>
          </w:p>
        </w:tc>
        <w:tc>
          <w:tcPr>
            <w:tcW w:w="850" w:type="dxa"/>
            <w:vAlign w:val="center"/>
          </w:tcPr>
          <w:p w14:paraId="731A116F">
            <w:pPr>
              <w:adjustRightInd w:val="0"/>
              <w:snapToGrid w:val="0"/>
              <w:spacing w:after="0" w:line="360" w:lineRule="auto"/>
              <w:jc w:val="center"/>
              <w:rPr>
                <w:rFonts w:hint="eastAsia" w:ascii="宋体" w:hAnsi="宋体" w:eastAsia="宋体"/>
                <w:sz w:val="24"/>
              </w:rPr>
            </w:pPr>
          </w:p>
        </w:tc>
      </w:tr>
      <w:tr w14:paraId="42B9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5DBB3EE3">
            <w:pPr>
              <w:pStyle w:val="33"/>
              <w:numPr>
                <w:ilvl w:val="0"/>
                <w:numId w:val="1"/>
              </w:numPr>
              <w:adjustRightInd w:val="0"/>
              <w:snapToGrid w:val="0"/>
              <w:spacing w:after="0" w:line="360" w:lineRule="auto"/>
              <w:jc w:val="center"/>
              <w:rPr>
                <w:rFonts w:hint="eastAsia" w:ascii="宋体" w:hAnsi="宋体" w:eastAsia="宋体"/>
                <w:sz w:val="24"/>
              </w:rPr>
            </w:pPr>
          </w:p>
        </w:tc>
        <w:tc>
          <w:tcPr>
            <w:tcW w:w="1352" w:type="dxa"/>
            <w:vAlign w:val="center"/>
          </w:tcPr>
          <w:p w14:paraId="736885F2">
            <w:pPr>
              <w:adjustRightInd w:val="0"/>
              <w:snapToGrid w:val="0"/>
              <w:spacing w:after="0" w:line="360" w:lineRule="auto"/>
              <w:jc w:val="center"/>
              <w:rPr>
                <w:rFonts w:hint="eastAsia" w:ascii="宋体" w:hAnsi="宋体" w:eastAsia="宋体"/>
                <w:sz w:val="24"/>
              </w:rPr>
            </w:pPr>
            <w:r>
              <w:rPr>
                <w:rFonts w:hint="eastAsia" w:ascii="宋体" w:hAnsi="宋体" w:eastAsia="宋体"/>
                <w:sz w:val="24"/>
              </w:rPr>
              <w:t>同类项目业绩情况及履约评价</w:t>
            </w:r>
          </w:p>
        </w:tc>
        <w:tc>
          <w:tcPr>
            <w:tcW w:w="4535" w:type="dxa"/>
            <w:vAlign w:val="center"/>
          </w:tcPr>
          <w:p w14:paraId="0D1DED66">
            <w:pPr>
              <w:adjustRightInd w:val="0"/>
              <w:snapToGrid w:val="0"/>
              <w:spacing w:after="0" w:line="360" w:lineRule="auto"/>
              <w:jc w:val="both"/>
              <w:rPr>
                <w:rFonts w:hint="eastAsia" w:ascii="宋体" w:hAnsi="宋体" w:eastAsia="宋体"/>
                <w:sz w:val="24"/>
              </w:rPr>
            </w:pPr>
            <w:r>
              <w:rPr>
                <w:rFonts w:hint="eastAsia" w:ascii="宋体" w:hAnsi="宋体" w:eastAsia="宋体"/>
                <w:sz w:val="24"/>
              </w:rPr>
              <w:t>投标人2023年1月1日至本项目投标截止日前(以合同签订日期为准),每提供一项中小学购买教师（教育）服务项目得5分 ,最高得20分。</w:t>
            </w:r>
          </w:p>
          <w:p w14:paraId="0BE77BF2">
            <w:pPr>
              <w:adjustRightInd w:val="0"/>
              <w:snapToGrid w:val="0"/>
              <w:spacing w:after="0" w:line="360" w:lineRule="auto"/>
              <w:jc w:val="both"/>
              <w:rPr>
                <w:rFonts w:hint="eastAsia" w:ascii="宋体" w:hAnsi="宋体" w:eastAsia="宋体"/>
                <w:sz w:val="24"/>
              </w:rPr>
            </w:pPr>
            <w:r>
              <w:rPr>
                <w:rFonts w:hint="eastAsia" w:ascii="宋体" w:hAnsi="宋体" w:eastAsia="宋体"/>
                <w:sz w:val="24"/>
              </w:rPr>
              <w:t>未提供不得分，一年一签的长期服务续签合同只计算一个业绩。</w:t>
            </w:r>
          </w:p>
        </w:tc>
        <w:tc>
          <w:tcPr>
            <w:tcW w:w="850" w:type="dxa"/>
            <w:vAlign w:val="center"/>
          </w:tcPr>
          <w:p w14:paraId="4A8A9D19">
            <w:pPr>
              <w:adjustRightInd w:val="0"/>
              <w:snapToGrid w:val="0"/>
              <w:spacing w:after="0" w:line="360" w:lineRule="auto"/>
              <w:jc w:val="center"/>
              <w:rPr>
                <w:rFonts w:hint="eastAsia" w:ascii="宋体" w:hAnsi="宋体" w:eastAsia="宋体"/>
                <w:sz w:val="24"/>
              </w:rPr>
            </w:pPr>
            <w:r>
              <w:rPr>
                <w:rFonts w:hint="eastAsia" w:ascii="宋体" w:hAnsi="宋体" w:eastAsia="宋体"/>
                <w:sz w:val="24"/>
              </w:rPr>
              <w:t>20</w:t>
            </w:r>
          </w:p>
        </w:tc>
        <w:tc>
          <w:tcPr>
            <w:tcW w:w="850" w:type="dxa"/>
            <w:vAlign w:val="center"/>
          </w:tcPr>
          <w:p w14:paraId="26F84B2C">
            <w:pPr>
              <w:adjustRightInd w:val="0"/>
              <w:snapToGrid w:val="0"/>
              <w:spacing w:after="0" w:line="360" w:lineRule="auto"/>
              <w:jc w:val="center"/>
              <w:rPr>
                <w:rFonts w:hint="eastAsia" w:ascii="宋体" w:hAnsi="宋体" w:eastAsia="宋体"/>
                <w:sz w:val="24"/>
              </w:rPr>
            </w:pPr>
          </w:p>
        </w:tc>
      </w:tr>
      <w:tr w14:paraId="1E75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6809BAF2">
            <w:pPr>
              <w:pStyle w:val="33"/>
              <w:numPr>
                <w:ilvl w:val="0"/>
                <w:numId w:val="1"/>
              </w:numPr>
              <w:adjustRightInd w:val="0"/>
              <w:snapToGrid w:val="0"/>
              <w:spacing w:after="0" w:line="360" w:lineRule="auto"/>
              <w:jc w:val="center"/>
              <w:rPr>
                <w:rFonts w:hint="eastAsia" w:ascii="宋体" w:hAnsi="宋体" w:eastAsia="宋体"/>
                <w:sz w:val="24"/>
              </w:rPr>
            </w:pPr>
          </w:p>
        </w:tc>
        <w:tc>
          <w:tcPr>
            <w:tcW w:w="1352" w:type="dxa"/>
            <w:vAlign w:val="center"/>
          </w:tcPr>
          <w:p w14:paraId="5855C269">
            <w:pPr>
              <w:adjustRightInd w:val="0"/>
              <w:snapToGrid w:val="0"/>
              <w:spacing w:after="0" w:line="360" w:lineRule="auto"/>
              <w:jc w:val="center"/>
              <w:rPr>
                <w:rFonts w:hint="eastAsia" w:ascii="宋体" w:hAnsi="宋体" w:eastAsia="宋体"/>
                <w:sz w:val="24"/>
              </w:rPr>
            </w:pPr>
            <w:r>
              <w:rPr>
                <w:rFonts w:hint="eastAsia" w:ascii="宋体" w:hAnsi="宋体" w:eastAsia="宋体"/>
                <w:sz w:val="24"/>
              </w:rPr>
              <w:t>服务方案</w:t>
            </w:r>
          </w:p>
        </w:tc>
        <w:tc>
          <w:tcPr>
            <w:tcW w:w="4535" w:type="dxa"/>
            <w:vAlign w:val="center"/>
          </w:tcPr>
          <w:p w14:paraId="3F9E577A">
            <w:pPr>
              <w:adjustRightInd w:val="0"/>
              <w:snapToGrid w:val="0"/>
              <w:spacing w:after="0" w:line="360" w:lineRule="auto"/>
              <w:jc w:val="both"/>
              <w:rPr>
                <w:rFonts w:hint="eastAsia" w:ascii="宋体" w:hAnsi="宋体" w:eastAsia="宋体"/>
                <w:sz w:val="24"/>
              </w:rPr>
            </w:pPr>
            <w:r>
              <w:rPr>
                <w:rFonts w:hint="eastAsia" w:ascii="宋体" w:hAnsi="宋体" w:eastAsia="宋体"/>
                <w:sz w:val="24"/>
              </w:rPr>
              <w:t>根据投标人针对提出完善科学的服务方案，包括但不限于以下内容</w:t>
            </w:r>
          </w:p>
          <w:p w14:paraId="388EB54B">
            <w:pPr>
              <w:adjustRightInd w:val="0"/>
              <w:snapToGrid w:val="0"/>
              <w:spacing w:after="0" w:line="360" w:lineRule="auto"/>
              <w:jc w:val="both"/>
              <w:rPr>
                <w:rFonts w:hint="eastAsia" w:ascii="宋体" w:hAnsi="宋体" w:eastAsia="宋体"/>
                <w:sz w:val="24"/>
              </w:rPr>
            </w:pPr>
            <w:r>
              <w:rPr>
                <w:rFonts w:hint="eastAsia" w:ascii="宋体" w:hAnsi="宋体" w:eastAsia="宋体"/>
                <w:sz w:val="24"/>
              </w:rPr>
              <w:t>1、人员招聘；</w:t>
            </w:r>
          </w:p>
          <w:p w14:paraId="55CDCD25">
            <w:pPr>
              <w:adjustRightInd w:val="0"/>
              <w:snapToGrid w:val="0"/>
              <w:spacing w:after="0" w:line="360" w:lineRule="auto"/>
              <w:jc w:val="both"/>
              <w:rPr>
                <w:rFonts w:hint="eastAsia" w:ascii="宋体" w:hAnsi="宋体" w:eastAsia="宋体"/>
                <w:sz w:val="24"/>
              </w:rPr>
            </w:pPr>
            <w:r>
              <w:rPr>
                <w:rFonts w:hint="eastAsia" w:ascii="宋体" w:hAnsi="宋体" w:eastAsia="宋体"/>
                <w:sz w:val="24"/>
              </w:rPr>
              <w:t>2、培训管理；</w:t>
            </w:r>
          </w:p>
          <w:p w14:paraId="5343E88B">
            <w:pPr>
              <w:adjustRightInd w:val="0"/>
              <w:snapToGrid w:val="0"/>
              <w:spacing w:after="0" w:line="360" w:lineRule="auto"/>
              <w:jc w:val="both"/>
              <w:rPr>
                <w:rFonts w:hint="eastAsia" w:ascii="宋体" w:hAnsi="宋体" w:eastAsia="宋体"/>
                <w:sz w:val="24"/>
              </w:rPr>
            </w:pPr>
            <w:r>
              <w:rPr>
                <w:rFonts w:hint="eastAsia" w:ascii="宋体" w:hAnsi="宋体" w:eastAsia="宋体"/>
                <w:sz w:val="24"/>
              </w:rPr>
              <w:t>3、因所派教育服务人员出现突发情况无法正常上班以及采购人资金无法及时支付服务人员工资垫付等紧急情况。</w:t>
            </w:r>
          </w:p>
          <w:p w14:paraId="6F3D101C">
            <w:pPr>
              <w:adjustRightInd w:val="0"/>
              <w:snapToGrid w:val="0"/>
              <w:spacing w:after="0" w:line="360" w:lineRule="auto"/>
              <w:jc w:val="both"/>
              <w:rPr>
                <w:rFonts w:hint="eastAsia" w:ascii="宋体" w:hAnsi="宋体" w:eastAsia="宋体"/>
                <w:sz w:val="24"/>
              </w:rPr>
            </w:pPr>
            <w:r>
              <w:rPr>
                <w:rFonts w:hint="eastAsia" w:ascii="宋体" w:hAnsi="宋体" w:eastAsia="宋体"/>
                <w:sz w:val="24"/>
              </w:rPr>
              <w:t>满足以上三项要求的评价为优，得100%分数。</w:t>
            </w:r>
          </w:p>
          <w:p w14:paraId="149FE66E">
            <w:pPr>
              <w:adjustRightInd w:val="0"/>
              <w:snapToGrid w:val="0"/>
              <w:spacing w:after="0" w:line="360" w:lineRule="auto"/>
              <w:jc w:val="both"/>
              <w:rPr>
                <w:rFonts w:hint="eastAsia" w:ascii="宋体" w:hAnsi="宋体" w:eastAsia="宋体"/>
                <w:sz w:val="24"/>
              </w:rPr>
            </w:pPr>
            <w:r>
              <w:rPr>
                <w:rFonts w:hint="eastAsia" w:ascii="宋体" w:hAnsi="宋体" w:eastAsia="宋体"/>
                <w:sz w:val="24"/>
              </w:rPr>
              <w:t>满足以上二项要求的评价为良，得80%分数。</w:t>
            </w:r>
          </w:p>
          <w:p w14:paraId="5557BEEF">
            <w:pPr>
              <w:adjustRightInd w:val="0"/>
              <w:snapToGrid w:val="0"/>
              <w:spacing w:after="0" w:line="360" w:lineRule="auto"/>
              <w:jc w:val="both"/>
              <w:rPr>
                <w:rFonts w:hint="eastAsia" w:ascii="宋体" w:hAnsi="宋体" w:eastAsia="宋体"/>
                <w:sz w:val="24"/>
              </w:rPr>
            </w:pPr>
            <w:r>
              <w:rPr>
                <w:rFonts w:hint="eastAsia" w:ascii="宋体" w:hAnsi="宋体" w:eastAsia="宋体"/>
                <w:sz w:val="24"/>
              </w:rPr>
              <w:t>满足以上一项要求的评价为中，得60%分数。</w:t>
            </w:r>
          </w:p>
          <w:p w14:paraId="6D101095">
            <w:pPr>
              <w:adjustRightInd w:val="0"/>
              <w:snapToGrid w:val="0"/>
              <w:spacing w:after="0" w:line="360" w:lineRule="auto"/>
              <w:jc w:val="both"/>
              <w:rPr>
                <w:rFonts w:hint="eastAsia" w:ascii="宋体" w:hAnsi="宋体" w:eastAsia="宋体"/>
                <w:sz w:val="24"/>
              </w:rPr>
            </w:pPr>
            <w:r>
              <w:rPr>
                <w:rFonts w:hint="eastAsia" w:ascii="宋体" w:hAnsi="宋体" w:eastAsia="宋体"/>
                <w:sz w:val="24"/>
              </w:rPr>
              <w:t>其它情况的评价为差，不得分。</w:t>
            </w:r>
          </w:p>
        </w:tc>
        <w:tc>
          <w:tcPr>
            <w:tcW w:w="850" w:type="dxa"/>
            <w:vAlign w:val="center"/>
          </w:tcPr>
          <w:p w14:paraId="1C590730">
            <w:pPr>
              <w:adjustRightInd w:val="0"/>
              <w:snapToGrid w:val="0"/>
              <w:spacing w:after="0" w:line="360" w:lineRule="auto"/>
              <w:jc w:val="center"/>
              <w:rPr>
                <w:rFonts w:hint="eastAsia" w:ascii="宋体" w:hAnsi="宋体" w:eastAsia="宋体"/>
                <w:sz w:val="24"/>
              </w:rPr>
            </w:pPr>
            <w:r>
              <w:rPr>
                <w:rFonts w:hint="eastAsia" w:ascii="宋体" w:hAnsi="宋体" w:eastAsia="宋体"/>
                <w:sz w:val="24"/>
              </w:rPr>
              <w:t>20</w:t>
            </w:r>
          </w:p>
        </w:tc>
        <w:tc>
          <w:tcPr>
            <w:tcW w:w="850" w:type="dxa"/>
            <w:vAlign w:val="center"/>
          </w:tcPr>
          <w:p w14:paraId="2F299949">
            <w:pPr>
              <w:adjustRightInd w:val="0"/>
              <w:snapToGrid w:val="0"/>
              <w:spacing w:after="0" w:line="360" w:lineRule="auto"/>
              <w:jc w:val="center"/>
              <w:rPr>
                <w:rFonts w:hint="eastAsia" w:ascii="宋体" w:hAnsi="宋体" w:eastAsia="宋体"/>
                <w:sz w:val="24"/>
              </w:rPr>
            </w:pPr>
          </w:p>
        </w:tc>
      </w:tr>
      <w:tr w14:paraId="047A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1B16ACE3">
            <w:pPr>
              <w:pStyle w:val="33"/>
              <w:numPr>
                <w:ilvl w:val="0"/>
                <w:numId w:val="1"/>
              </w:numPr>
              <w:adjustRightInd w:val="0"/>
              <w:snapToGrid w:val="0"/>
              <w:spacing w:after="0" w:line="360" w:lineRule="auto"/>
              <w:jc w:val="center"/>
              <w:rPr>
                <w:rFonts w:hint="eastAsia" w:ascii="宋体" w:hAnsi="宋体" w:eastAsia="宋体"/>
                <w:sz w:val="24"/>
              </w:rPr>
            </w:pPr>
          </w:p>
        </w:tc>
        <w:tc>
          <w:tcPr>
            <w:tcW w:w="1352" w:type="dxa"/>
            <w:vAlign w:val="center"/>
          </w:tcPr>
          <w:p w14:paraId="4FF34E2A">
            <w:pPr>
              <w:adjustRightInd w:val="0"/>
              <w:snapToGrid w:val="0"/>
              <w:spacing w:after="0" w:line="360" w:lineRule="auto"/>
              <w:jc w:val="center"/>
              <w:rPr>
                <w:rFonts w:hint="eastAsia" w:ascii="宋体" w:hAnsi="宋体" w:eastAsia="宋体"/>
                <w:sz w:val="24"/>
              </w:rPr>
            </w:pPr>
            <w:r>
              <w:rPr>
                <w:rFonts w:hint="eastAsia" w:ascii="宋体" w:hAnsi="宋体" w:eastAsia="宋体"/>
                <w:sz w:val="24"/>
              </w:rPr>
              <w:t>服务人员福利</w:t>
            </w:r>
          </w:p>
        </w:tc>
        <w:tc>
          <w:tcPr>
            <w:tcW w:w="4535" w:type="dxa"/>
            <w:vAlign w:val="center"/>
          </w:tcPr>
          <w:p w14:paraId="440A88F5">
            <w:pPr>
              <w:adjustRightInd w:val="0"/>
              <w:snapToGrid w:val="0"/>
              <w:spacing w:after="0" w:line="360" w:lineRule="auto"/>
              <w:jc w:val="both"/>
              <w:rPr>
                <w:rFonts w:hint="eastAsia" w:ascii="宋体" w:hAnsi="宋体" w:eastAsia="宋体"/>
                <w:sz w:val="24"/>
              </w:rPr>
            </w:pPr>
            <w:r>
              <w:rPr>
                <w:rFonts w:hint="eastAsia" w:ascii="宋体" w:hAnsi="宋体" w:eastAsia="宋体"/>
                <w:sz w:val="24"/>
              </w:rPr>
              <w:t>承诺</w:t>
            </w:r>
            <w:r>
              <w:rPr>
                <w:rFonts w:ascii="宋体" w:hAnsi="宋体" w:eastAsia="宋体"/>
                <w:sz w:val="24"/>
              </w:rPr>
              <w:t>按时发放教师劳务费、购买相关保险</w:t>
            </w:r>
            <w:r>
              <w:rPr>
                <w:rFonts w:hint="eastAsia" w:ascii="宋体" w:hAnsi="宋体" w:eastAsia="宋体"/>
                <w:sz w:val="24"/>
              </w:rPr>
              <w:t>的得10分，不能满足的得0分。</w:t>
            </w:r>
          </w:p>
        </w:tc>
        <w:tc>
          <w:tcPr>
            <w:tcW w:w="850" w:type="dxa"/>
            <w:vAlign w:val="center"/>
          </w:tcPr>
          <w:p w14:paraId="633507D4">
            <w:pPr>
              <w:adjustRightInd w:val="0"/>
              <w:snapToGrid w:val="0"/>
              <w:spacing w:after="0" w:line="360" w:lineRule="auto"/>
              <w:jc w:val="center"/>
              <w:rPr>
                <w:rFonts w:hint="eastAsia" w:ascii="宋体" w:hAnsi="宋体" w:eastAsia="宋体"/>
                <w:sz w:val="24"/>
              </w:rPr>
            </w:pPr>
            <w:r>
              <w:rPr>
                <w:rFonts w:hint="eastAsia" w:ascii="宋体" w:hAnsi="宋体" w:eastAsia="宋体"/>
                <w:sz w:val="24"/>
              </w:rPr>
              <w:t>10</w:t>
            </w:r>
          </w:p>
        </w:tc>
        <w:tc>
          <w:tcPr>
            <w:tcW w:w="850" w:type="dxa"/>
            <w:vAlign w:val="center"/>
          </w:tcPr>
          <w:p w14:paraId="5DBE1096">
            <w:pPr>
              <w:adjustRightInd w:val="0"/>
              <w:snapToGrid w:val="0"/>
              <w:spacing w:after="0" w:line="360" w:lineRule="auto"/>
              <w:jc w:val="center"/>
              <w:rPr>
                <w:rFonts w:hint="eastAsia" w:ascii="宋体" w:hAnsi="宋体" w:eastAsia="宋体"/>
                <w:sz w:val="24"/>
              </w:rPr>
            </w:pPr>
          </w:p>
        </w:tc>
      </w:tr>
      <w:tr w14:paraId="52D6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39601E2B">
            <w:pPr>
              <w:pStyle w:val="33"/>
              <w:numPr>
                <w:ilvl w:val="0"/>
                <w:numId w:val="1"/>
              </w:numPr>
              <w:adjustRightInd w:val="0"/>
              <w:snapToGrid w:val="0"/>
              <w:spacing w:after="0" w:line="360" w:lineRule="auto"/>
              <w:jc w:val="center"/>
              <w:rPr>
                <w:rFonts w:hint="eastAsia" w:ascii="宋体" w:hAnsi="宋体" w:eastAsia="宋体"/>
                <w:sz w:val="24"/>
              </w:rPr>
            </w:pPr>
          </w:p>
        </w:tc>
        <w:tc>
          <w:tcPr>
            <w:tcW w:w="1352" w:type="dxa"/>
            <w:vAlign w:val="center"/>
          </w:tcPr>
          <w:p w14:paraId="37721C7B">
            <w:pPr>
              <w:adjustRightInd w:val="0"/>
              <w:snapToGrid w:val="0"/>
              <w:spacing w:after="0" w:line="360" w:lineRule="auto"/>
              <w:jc w:val="center"/>
              <w:rPr>
                <w:rFonts w:hint="eastAsia" w:ascii="宋体" w:hAnsi="宋体" w:eastAsia="宋体"/>
                <w:sz w:val="24"/>
              </w:rPr>
            </w:pPr>
            <w:r>
              <w:rPr>
                <w:rFonts w:hint="eastAsia" w:ascii="宋体" w:hAnsi="宋体" w:eastAsia="宋体"/>
                <w:sz w:val="24"/>
              </w:rPr>
              <w:t>人才储备、招聘渠道</w:t>
            </w:r>
          </w:p>
        </w:tc>
        <w:tc>
          <w:tcPr>
            <w:tcW w:w="4535" w:type="dxa"/>
            <w:vAlign w:val="center"/>
          </w:tcPr>
          <w:p w14:paraId="4A0BFAE9">
            <w:pPr>
              <w:adjustRightInd w:val="0"/>
              <w:snapToGrid w:val="0"/>
              <w:spacing w:after="0" w:line="360" w:lineRule="auto"/>
              <w:jc w:val="both"/>
              <w:rPr>
                <w:rFonts w:hint="eastAsia" w:ascii="宋体" w:hAnsi="宋体" w:eastAsia="宋体"/>
                <w:sz w:val="24"/>
              </w:rPr>
            </w:pPr>
            <w:r>
              <w:rPr>
                <w:rFonts w:hint="eastAsia" w:ascii="宋体" w:hAnsi="宋体" w:eastAsia="宋体"/>
                <w:sz w:val="24"/>
              </w:rPr>
              <w:t>考察投标人的服务人员资源储备及招聘渠道。</w:t>
            </w:r>
          </w:p>
          <w:p w14:paraId="21774333">
            <w:pPr>
              <w:adjustRightInd w:val="0"/>
              <w:snapToGrid w:val="0"/>
              <w:spacing w:after="0" w:line="360" w:lineRule="auto"/>
              <w:jc w:val="both"/>
              <w:rPr>
                <w:rFonts w:hint="default" w:ascii="宋体" w:hAnsi="宋体" w:eastAsia="宋体"/>
                <w:sz w:val="24"/>
                <w:lang w:val="en-US" w:eastAsia="zh-CN"/>
              </w:rPr>
            </w:pPr>
            <w:r>
              <w:rPr>
                <w:rFonts w:hint="eastAsia" w:ascii="宋体" w:hAnsi="宋体" w:eastAsia="宋体"/>
                <w:sz w:val="24"/>
              </w:rPr>
              <w:t>1.投标公司的人才储备数量，整体资源储备优得5分，良得3分，一般得1分，</w:t>
            </w:r>
            <w:r>
              <w:rPr>
                <w:rFonts w:hint="eastAsia" w:ascii="宋体" w:hAnsi="宋体" w:eastAsia="宋体"/>
                <w:sz w:val="24"/>
                <w:lang w:val="en-US" w:eastAsia="zh-CN"/>
              </w:rPr>
              <w:t>差不得分。</w:t>
            </w:r>
          </w:p>
          <w:p w14:paraId="2FBB71C0">
            <w:pPr>
              <w:adjustRightInd w:val="0"/>
              <w:snapToGrid w:val="0"/>
              <w:spacing w:after="0" w:line="360" w:lineRule="auto"/>
              <w:jc w:val="both"/>
              <w:rPr>
                <w:rFonts w:hint="eastAsia" w:ascii="宋体" w:hAnsi="宋体" w:eastAsia="宋体"/>
                <w:sz w:val="24"/>
              </w:rPr>
            </w:pPr>
            <w:r>
              <w:rPr>
                <w:rFonts w:hint="eastAsia" w:ascii="宋体" w:hAnsi="宋体" w:eastAsia="宋体"/>
                <w:sz w:val="24"/>
              </w:rPr>
              <w:t>2. 投标公司的招聘渠道评价优得5分，良得3分，一般得1分，</w:t>
            </w:r>
            <w:r>
              <w:rPr>
                <w:rFonts w:hint="eastAsia" w:ascii="宋体" w:hAnsi="宋体" w:eastAsia="宋体"/>
                <w:sz w:val="24"/>
                <w:lang w:val="en-US" w:eastAsia="zh-CN"/>
              </w:rPr>
              <w:t>差不得分</w:t>
            </w:r>
            <w:r>
              <w:rPr>
                <w:rFonts w:hint="eastAsia" w:ascii="宋体" w:hAnsi="宋体" w:eastAsia="宋体"/>
                <w:sz w:val="24"/>
              </w:rPr>
              <w:t>。</w:t>
            </w:r>
          </w:p>
        </w:tc>
        <w:tc>
          <w:tcPr>
            <w:tcW w:w="850" w:type="dxa"/>
            <w:vAlign w:val="center"/>
          </w:tcPr>
          <w:p w14:paraId="4507AF23">
            <w:pPr>
              <w:adjustRightInd w:val="0"/>
              <w:snapToGrid w:val="0"/>
              <w:spacing w:after="0" w:line="360" w:lineRule="auto"/>
              <w:jc w:val="center"/>
              <w:rPr>
                <w:rFonts w:hint="eastAsia" w:ascii="宋体" w:hAnsi="宋体" w:eastAsia="宋体"/>
                <w:sz w:val="24"/>
              </w:rPr>
            </w:pPr>
            <w:r>
              <w:rPr>
                <w:rFonts w:hint="eastAsia" w:ascii="宋体" w:hAnsi="宋体" w:eastAsia="宋体"/>
                <w:sz w:val="24"/>
              </w:rPr>
              <w:t>10</w:t>
            </w:r>
          </w:p>
        </w:tc>
        <w:tc>
          <w:tcPr>
            <w:tcW w:w="850" w:type="dxa"/>
            <w:vAlign w:val="center"/>
          </w:tcPr>
          <w:p w14:paraId="44C66D8E">
            <w:pPr>
              <w:adjustRightInd w:val="0"/>
              <w:snapToGrid w:val="0"/>
              <w:spacing w:after="0" w:line="360" w:lineRule="auto"/>
              <w:jc w:val="center"/>
              <w:rPr>
                <w:rFonts w:hint="eastAsia" w:ascii="宋体" w:hAnsi="宋体" w:eastAsia="宋体"/>
                <w:sz w:val="24"/>
              </w:rPr>
            </w:pPr>
          </w:p>
        </w:tc>
      </w:tr>
      <w:tr w14:paraId="1B93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5E8D5162">
            <w:pPr>
              <w:pStyle w:val="33"/>
              <w:numPr>
                <w:ilvl w:val="0"/>
                <w:numId w:val="1"/>
              </w:numPr>
              <w:adjustRightInd w:val="0"/>
              <w:snapToGrid w:val="0"/>
              <w:spacing w:after="0" w:line="360" w:lineRule="auto"/>
              <w:jc w:val="center"/>
              <w:rPr>
                <w:rFonts w:hint="eastAsia" w:ascii="宋体" w:hAnsi="宋体" w:eastAsia="宋体"/>
                <w:sz w:val="24"/>
              </w:rPr>
            </w:pPr>
          </w:p>
        </w:tc>
        <w:tc>
          <w:tcPr>
            <w:tcW w:w="1352" w:type="dxa"/>
            <w:vAlign w:val="center"/>
          </w:tcPr>
          <w:p w14:paraId="6E77FF0E">
            <w:pPr>
              <w:adjustRightInd w:val="0"/>
              <w:snapToGrid w:val="0"/>
              <w:spacing w:after="0" w:line="360" w:lineRule="auto"/>
              <w:jc w:val="center"/>
              <w:rPr>
                <w:rFonts w:hint="eastAsia" w:ascii="宋体" w:hAnsi="宋体" w:eastAsia="宋体"/>
                <w:sz w:val="24"/>
              </w:rPr>
            </w:pPr>
            <w:r>
              <w:rPr>
                <w:rFonts w:ascii="宋体" w:hAnsi="宋体" w:eastAsia="宋体"/>
                <w:sz w:val="24"/>
              </w:rPr>
              <w:t>相关认证情况</w:t>
            </w:r>
          </w:p>
        </w:tc>
        <w:tc>
          <w:tcPr>
            <w:tcW w:w="4535" w:type="dxa"/>
            <w:vAlign w:val="center"/>
          </w:tcPr>
          <w:p w14:paraId="2463DF75">
            <w:pPr>
              <w:adjustRightInd w:val="0"/>
              <w:snapToGrid w:val="0"/>
              <w:spacing w:after="0" w:line="360" w:lineRule="auto"/>
              <w:jc w:val="both"/>
              <w:rPr>
                <w:rFonts w:hint="eastAsia" w:ascii="宋体" w:hAnsi="宋体" w:eastAsia="宋体"/>
                <w:sz w:val="24"/>
              </w:rPr>
            </w:pPr>
            <w:r>
              <w:rPr>
                <w:rFonts w:hint="eastAsia" w:ascii="宋体" w:hAnsi="宋体" w:eastAsia="宋体"/>
                <w:sz w:val="24"/>
              </w:rPr>
              <w:t>投标人具有下述管理体系认证证书：</w:t>
            </w:r>
          </w:p>
          <w:p w14:paraId="268053F6">
            <w:pPr>
              <w:adjustRightInd w:val="0"/>
              <w:snapToGrid w:val="0"/>
              <w:spacing w:after="0" w:line="360" w:lineRule="auto"/>
              <w:jc w:val="both"/>
              <w:rPr>
                <w:rFonts w:hint="eastAsia" w:ascii="宋体" w:hAnsi="宋体" w:eastAsia="宋体"/>
                <w:sz w:val="24"/>
              </w:rPr>
            </w:pPr>
            <w:r>
              <w:rPr>
                <w:rFonts w:hint="eastAsia" w:ascii="宋体" w:hAnsi="宋体" w:eastAsia="宋体"/>
                <w:sz w:val="24"/>
              </w:rPr>
              <w:t>1.具有质量管理体系认证证书得5分</w:t>
            </w:r>
          </w:p>
          <w:p w14:paraId="2421D0A5">
            <w:pPr>
              <w:adjustRightInd w:val="0"/>
              <w:snapToGrid w:val="0"/>
              <w:spacing w:after="0" w:line="360" w:lineRule="auto"/>
              <w:jc w:val="both"/>
              <w:rPr>
                <w:rFonts w:hint="eastAsia" w:ascii="宋体" w:hAnsi="宋体" w:eastAsia="宋体"/>
                <w:sz w:val="24"/>
              </w:rPr>
            </w:pPr>
            <w:r>
              <w:rPr>
                <w:rFonts w:hint="eastAsia" w:ascii="宋体" w:hAnsi="宋体" w:eastAsia="宋体"/>
                <w:sz w:val="24"/>
              </w:rPr>
              <w:t>2.具有环境管理体系认证证书得5分；</w:t>
            </w:r>
          </w:p>
          <w:p w14:paraId="404E2056">
            <w:pPr>
              <w:adjustRightInd w:val="0"/>
              <w:snapToGrid w:val="0"/>
              <w:spacing w:after="0" w:line="360" w:lineRule="auto"/>
              <w:jc w:val="both"/>
              <w:rPr>
                <w:rFonts w:ascii="宋体" w:hAnsi="宋体" w:eastAsia="宋体"/>
                <w:sz w:val="24"/>
              </w:rPr>
            </w:pPr>
            <w:r>
              <w:rPr>
                <w:rFonts w:hint="eastAsia" w:ascii="宋体" w:hAnsi="宋体" w:eastAsia="宋体"/>
                <w:sz w:val="24"/>
              </w:rPr>
              <w:t>3.具有职业健康安全管理体系认证证书得5分；</w:t>
            </w:r>
          </w:p>
          <w:p w14:paraId="670E6722">
            <w:pPr>
              <w:adjustRightInd w:val="0"/>
              <w:snapToGrid w:val="0"/>
              <w:spacing w:after="0" w:line="360" w:lineRule="auto"/>
              <w:jc w:val="both"/>
              <w:rPr>
                <w:rFonts w:hint="eastAsia" w:ascii="宋体" w:hAnsi="宋体" w:eastAsia="宋体"/>
                <w:sz w:val="24"/>
              </w:rPr>
            </w:pPr>
            <w:r>
              <w:rPr>
                <w:rFonts w:hint="eastAsia" w:ascii="宋体" w:hAnsi="宋体" w:eastAsia="宋体"/>
                <w:sz w:val="24"/>
              </w:rPr>
              <w:t>4.具有</w:t>
            </w:r>
            <w:r>
              <w:rPr>
                <w:rFonts w:ascii="宋体" w:hAnsi="宋体" w:eastAsia="宋体"/>
                <w:sz w:val="24"/>
              </w:rPr>
              <w:t>非学历教育服务认证证书</w:t>
            </w:r>
            <w:r>
              <w:rPr>
                <w:rFonts w:hint="eastAsia" w:ascii="宋体" w:hAnsi="宋体" w:eastAsia="宋体"/>
                <w:sz w:val="24"/>
              </w:rPr>
              <w:t>得5分。</w:t>
            </w:r>
          </w:p>
          <w:p w14:paraId="0C80AFDB">
            <w:pPr>
              <w:adjustRightInd w:val="0"/>
              <w:snapToGrid w:val="0"/>
              <w:spacing w:after="0" w:line="360" w:lineRule="auto"/>
              <w:jc w:val="both"/>
              <w:rPr>
                <w:rFonts w:hint="eastAsia" w:ascii="宋体" w:hAnsi="宋体" w:eastAsia="宋体"/>
                <w:sz w:val="24"/>
              </w:rPr>
            </w:pPr>
            <w:r>
              <w:rPr>
                <w:rFonts w:hint="eastAsia" w:ascii="宋体" w:hAnsi="宋体" w:eastAsia="宋体"/>
                <w:sz w:val="24"/>
              </w:rPr>
              <w:t>注：以上累计得分，最高得20分。</w:t>
            </w:r>
          </w:p>
        </w:tc>
        <w:tc>
          <w:tcPr>
            <w:tcW w:w="850" w:type="dxa"/>
            <w:vAlign w:val="center"/>
          </w:tcPr>
          <w:p w14:paraId="3FE70A19">
            <w:pPr>
              <w:adjustRightInd w:val="0"/>
              <w:snapToGrid w:val="0"/>
              <w:spacing w:after="0" w:line="360" w:lineRule="auto"/>
              <w:jc w:val="center"/>
              <w:rPr>
                <w:rFonts w:hint="eastAsia" w:ascii="宋体" w:hAnsi="宋体" w:eastAsia="宋体"/>
                <w:sz w:val="24"/>
              </w:rPr>
            </w:pPr>
            <w:r>
              <w:rPr>
                <w:rFonts w:hint="eastAsia" w:ascii="宋体" w:hAnsi="宋体" w:eastAsia="宋体"/>
                <w:sz w:val="24"/>
              </w:rPr>
              <w:t>20</w:t>
            </w:r>
          </w:p>
        </w:tc>
        <w:tc>
          <w:tcPr>
            <w:tcW w:w="850" w:type="dxa"/>
            <w:vAlign w:val="center"/>
          </w:tcPr>
          <w:p w14:paraId="1D7B3B00">
            <w:pPr>
              <w:adjustRightInd w:val="0"/>
              <w:snapToGrid w:val="0"/>
              <w:spacing w:after="0" w:line="360" w:lineRule="auto"/>
              <w:jc w:val="center"/>
              <w:rPr>
                <w:rFonts w:hint="eastAsia" w:ascii="宋体" w:hAnsi="宋体" w:eastAsia="宋体"/>
                <w:sz w:val="24"/>
              </w:rPr>
            </w:pPr>
          </w:p>
        </w:tc>
      </w:tr>
      <w:tr w14:paraId="281B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5EE8B0DF">
            <w:pPr>
              <w:pStyle w:val="33"/>
              <w:numPr>
                <w:ilvl w:val="0"/>
                <w:numId w:val="1"/>
              </w:numPr>
              <w:adjustRightInd w:val="0"/>
              <w:snapToGrid w:val="0"/>
              <w:spacing w:after="0" w:line="360" w:lineRule="auto"/>
              <w:jc w:val="center"/>
              <w:rPr>
                <w:rFonts w:hint="eastAsia" w:ascii="宋体" w:hAnsi="宋体" w:eastAsia="宋体"/>
                <w:sz w:val="24"/>
              </w:rPr>
            </w:pPr>
          </w:p>
        </w:tc>
        <w:tc>
          <w:tcPr>
            <w:tcW w:w="1352" w:type="dxa"/>
            <w:vAlign w:val="center"/>
          </w:tcPr>
          <w:p w14:paraId="1FD6573F">
            <w:pPr>
              <w:adjustRightInd w:val="0"/>
              <w:snapToGrid w:val="0"/>
              <w:spacing w:after="0" w:line="360" w:lineRule="auto"/>
              <w:jc w:val="center"/>
              <w:rPr>
                <w:rFonts w:ascii="宋体" w:hAnsi="宋体" w:eastAsia="宋体"/>
                <w:sz w:val="24"/>
              </w:rPr>
            </w:pPr>
            <w:r>
              <w:rPr>
                <w:rFonts w:ascii="宋体" w:hAnsi="宋体" w:eastAsia="宋体"/>
                <w:sz w:val="24"/>
              </w:rPr>
              <w:t>获奖情况</w:t>
            </w:r>
          </w:p>
        </w:tc>
        <w:tc>
          <w:tcPr>
            <w:tcW w:w="4535" w:type="dxa"/>
            <w:vAlign w:val="center"/>
          </w:tcPr>
          <w:p w14:paraId="7CDDC581">
            <w:pPr>
              <w:adjustRightInd w:val="0"/>
              <w:snapToGrid w:val="0"/>
              <w:spacing w:after="0" w:line="360" w:lineRule="auto"/>
              <w:jc w:val="both"/>
              <w:rPr>
                <w:rFonts w:hint="eastAsia" w:ascii="宋体" w:hAnsi="宋体" w:eastAsia="宋体"/>
                <w:sz w:val="24"/>
              </w:rPr>
            </w:pPr>
            <w:r>
              <w:rPr>
                <w:rFonts w:ascii="宋体" w:hAnsi="宋体" w:eastAsia="宋体"/>
                <w:sz w:val="24"/>
              </w:rPr>
              <w:t>投标人获得政府部门或事业单位颁发的教育</w:t>
            </w:r>
            <w:r>
              <w:rPr>
                <w:rFonts w:hint="eastAsia" w:ascii="宋体" w:hAnsi="宋体" w:eastAsia="宋体"/>
                <w:sz w:val="24"/>
              </w:rPr>
              <w:t>相关</w:t>
            </w:r>
            <w:r>
              <w:rPr>
                <w:rFonts w:ascii="宋体" w:hAnsi="宋体" w:eastAsia="宋体"/>
                <w:sz w:val="24"/>
              </w:rPr>
              <w:t>服务类</w:t>
            </w:r>
            <w:r>
              <w:rPr>
                <w:rFonts w:hint="eastAsia" w:ascii="宋体" w:hAnsi="宋体" w:eastAsia="宋体"/>
                <w:sz w:val="24"/>
              </w:rPr>
              <w:t>或者是人力资源服务类</w:t>
            </w:r>
            <w:r>
              <w:rPr>
                <w:rFonts w:ascii="宋体" w:hAnsi="宋体" w:eastAsia="宋体"/>
                <w:sz w:val="24"/>
              </w:rPr>
              <w:t>荣誉（奖项）证书的</w:t>
            </w:r>
            <w:r>
              <w:rPr>
                <w:rFonts w:hint="eastAsia" w:ascii="宋体" w:hAnsi="宋体" w:eastAsia="宋体"/>
                <w:sz w:val="24"/>
              </w:rPr>
              <w:t>得5分。</w:t>
            </w:r>
          </w:p>
        </w:tc>
        <w:tc>
          <w:tcPr>
            <w:tcW w:w="850" w:type="dxa"/>
            <w:vAlign w:val="center"/>
          </w:tcPr>
          <w:p w14:paraId="62EED9DA">
            <w:pPr>
              <w:adjustRightInd w:val="0"/>
              <w:snapToGrid w:val="0"/>
              <w:spacing w:after="0" w:line="360" w:lineRule="auto"/>
              <w:jc w:val="center"/>
              <w:rPr>
                <w:rFonts w:hint="eastAsia" w:ascii="宋体" w:hAnsi="宋体" w:eastAsia="宋体"/>
                <w:sz w:val="24"/>
              </w:rPr>
            </w:pPr>
            <w:r>
              <w:rPr>
                <w:rFonts w:hint="eastAsia" w:ascii="宋体" w:hAnsi="宋体" w:eastAsia="宋体"/>
                <w:sz w:val="24"/>
              </w:rPr>
              <w:t>5</w:t>
            </w:r>
          </w:p>
        </w:tc>
        <w:tc>
          <w:tcPr>
            <w:tcW w:w="850" w:type="dxa"/>
            <w:vAlign w:val="center"/>
          </w:tcPr>
          <w:p w14:paraId="002860EF">
            <w:pPr>
              <w:adjustRightInd w:val="0"/>
              <w:snapToGrid w:val="0"/>
              <w:spacing w:after="0" w:line="360" w:lineRule="auto"/>
              <w:jc w:val="center"/>
              <w:rPr>
                <w:rFonts w:hint="eastAsia" w:ascii="宋体" w:hAnsi="宋体" w:eastAsia="宋体"/>
                <w:sz w:val="24"/>
              </w:rPr>
            </w:pPr>
          </w:p>
        </w:tc>
      </w:tr>
    </w:tbl>
    <w:p w14:paraId="72E50D21">
      <w:pPr>
        <w:adjustRightInd w:val="0"/>
        <w:snapToGrid w:val="0"/>
        <w:spacing w:after="0" w:line="360" w:lineRule="auto"/>
        <w:jc w:val="center"/>
        <w:rPr>
          <w:rFonts w:hint="eastAsia" w:ascii="宋体" w:hAnsi="宋体" w:eastAsia="宋体"/>
          <w:b/>
          <w:bCs/>
          <w:sz w:val="24"/>
        </w:rPr>
      </w:pPr>
    </w:p>
    <w:p w14:paraId="64B776AD">
      <w:pPr>
        <w:widowControl/>
        <w:rPr>
          <w:rFonts w:hint="eastAsia" w:ascii="宋体" w:hAnsi="宋体" w:eastAsia="宋体"/>
          <w:b/>
          <w:bCs/>
          <w:sz w:val="24"/>
        </w:rPr>
      </w:pPr>
      <w:bookmarkStart w:id="0" w:name="_GoBack"/>
      <w:bookmarkEnd w:id="0"/>
    </w:p>
    <w:sectPr>
      <w:pgSz w:w="11906" w:h="16838"/>
      <w:pgMar w:top="1440" w:right="1526" w:bottom="1440" w:left="15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CE20DA"/>
    <w:multiLevelType w:val="multilevel"/>
    <w:tmpl w:val="72CE20DA"/>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D9B"/>
    <w:rsid w:val="00011AF3"/>
    <w:rsid w:val="000604E6"/>
    <w:rsid w:val="00061F32"/>
    <w:rsid w:val="00066F2E"/>
    <w:rsid w:val="000F62FD"/>
    <w:rsid w:val="000F6660"/>
    <w:rsid w:val="001044D7"/>
    <w:rsid w:val="00113796"/>
    <w:rsid w:val="001673B4"/>
    <w:rsid w:val="001B6966"/>
    <w:rsid w:val="00211FE0"/>
    <w:rsid w:val="00220F17"/>
    <w:rsid w:val="00223D80"/>
    <w:rsid w:val="00261A2F"/>
    <w:rsid w:val="002A5AA1"/>
    <w:rsid w:val="002E20A3"/>
    <w:rsid w:val="002F0188"/>
    <w:rsid w:val="00316FA7"/>
    <w:rsid w:val="00345003"/>
    <w:rsid w:val="00381478"/>
    <w:rsid w:val="00393233"/>
    <w:rsid w:val="003A33E6"/>
    <w:rsid w:val="003F13D0"/>
    <w:rsid w:val="003F5C5A"/>
    <w:rsid w:val="00426327"/>
    <w:rsid w:val="00437F1A"/>
    <w:rsid w:val="00447B67"/>
    <w:rsid w:val="00452468"/>
    <w:rsid w:val="00470DD5"/>
    <w:rsid w:val="004970B1"/>
    <w:rsid w:val="004A7287"/>
    <w:rsid w:val="004E035E"/>
    <w:rsid w:val="004F3785"/>
    <w:rsid w:val="0051292C"/>
    <w:rsid w:val="0051321C"/>
    <w:rsid w:val="00536154"/>
    <w:rsid w:val="005506D9"/>
    <w:rsid w:val="0055115D"/>
    <w:rsid w:val="005565C9"/>
    <w:rsid w:val="00574145"/>
    <w:rsid w:val="00591423"/>
    <w:rsid w:val="005D3B2E"/>
    <w:rsid w:val="006262D3"/>
    <w:rsid w:val="006579E2"/>
    <w:rsid w:val="00661D7A"/>
    <w:rsid w:val="00675FB5"/>
    <w:rsid w:val="006C0C1C"/>
    <w:rsid w:val="006C5B1A"/>
    <w:rsid w:val="006D1D90"/>
    <w:rsid w:val="007265F7"/>
    <w:rsid w:val="00770C5B"/>
    <w:rsid w:val="00770E4F"/>
    <w:rsid w:val="007941F6"/>
    <w:rsid w:val="007A24BE"/>
    <w:rsid w:val="007D680F"/>
    <w:rsid w:val="007F1DF6"/>
    <w:rsid w:val="008030D6"/>
    <w:rsid w:val="008460C8"/>
    <w:rsid w:val="00850FAE"/>
    <w:rsid w:val="00892C72"/>
    <w:rsid w:val="0089522F"/>
    <w:rsid w:val="008D6D78"/>
    <w:rsid w:val="00912D9B"/>
    <w:rsid w:val="009B0BD0"/>
    <w:rsid w:val="009B676D"/>
    <w:rsid w:val="009D34D4"/>
    <w:rsid w:val="009F4DF7"/>
    <w:rsid w:val="00A11E05"/>
    <w:rsid w:val="00A24881"/>
    <w:rsid w:val="00A27FFE"/>
    <w:rsid w:val="00A65314"/>
    <w:rsid w:val="00A977BA"/>
    <w:rsid w:val="00B10A80"/>
    <w:rsid w:val="00BC0DE2"/>
    <w:rsid w:val="00C50FAC"/>
    <w:rsid w:val="00C705C2"/>
    <w:rsid w:val="00C7374C"/>
    <w:rsid w:val="00CD2E40"/>
    <w:rsid w:val="00CF7734"/>
    <w:rsid w:val="00D20002"/>
    <w:rsid w:val="00D21483"/>
    <w:rsid w:val="00D37861"/>
    <w:rsid w:val="00D602CC"/>
    <w:rsid w:val="00D764E2"/>
    <w:rsid w:val="00F40478"/>
    <w:rsid w:val="00F42489"/>
    <w:rsid w:val="00F712C0"/>
    <w:rsid w:val="00F7703D"/>
    <w:rsid w:val="00FC7584"/>
    <w:rsid w:val="09E4408E"/>
    <w:rsid w:val="0A342138"/>
    <w:rsid w:val="28E1627A"/>
    <w:rsid w:val="2E496043"/>
    <w:rsid w:val="44030F25"/>
    <w:rsid w:val="454A4722"/>
    <w:rsid w:val="46E92829"/>
    <w:rsid w:val="48536904"/>
    <w:rsid w:val="490D3144"/>
    <w:rsid w:val="4AB011AA"/>
    <w:rsid w:val="58827543"/>
    <w:rsid w:val="5F113216"/>
    <w:rsid w:val="601E5B63"/>
    <w:rsid w:val="7A256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5"/>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8">
    <w:name w:val="Table Grid"/>
    <w:basedOn w:val="1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9"/>
    <w:link w:val="5"/>
    <w:semiHidden/>
    <w:qFormat/>
    <w:uiPriority w:val="9"/>
    <w:rPr>
      <w:rFonts w:cstheme="majorBidi"/>
      <w:color w:val="104862" w:themeColor="accent1" w:themeShade="BF"/>
      <w:sz w:val="28"/>
      <w:szCs w:val="28"/>
    </w:rPr>
  </w:style>
  <w:style w:type="character" w:customStyle="1" w:styleId="24">
    <w:name w:val="标题 5 字符"/>
    <w:basedOn w:val="19"/>
    <w:link w:val="6"/>
    <w:semiHidden/>
    <w:qFormat/>
    <w:uiPriority w:val="9"/>
    <w:rPr>
      <w:rFonts w:cstheme="majorBidi"/>
      <w:color w:val="104862" w:themeColor="accent1" w:themeShade="BF"/>
      <w:sz w:val="24"/>
    </w:rPr>
  </w:style>
  <w:style w:type="character" w:customStyle="1" w:styleId="25">
    <w:name w:val="标题 6 字符"/>
    <w:basedOn w:val="19"/>
    <w:link w:val="7"/>
    <w:semiHidden/>
    <w:qFormat/>
    <w:uiPriority w:val="9"/>
    <w:rPr>
      <w:rFonts w:cstheme="majorBidi"/>
      <w:b/>
      <w:bCs/>
      <w:color w:val="104862" w:themeColor="accent1" w:themeShade="BF"/>
    </w:rPr>
  </w:style>
  <w:style w:type="character" w:customStyle="1" w:styleId="26">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9"/>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9"/>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9"/>
    <w:link w:val="35"/>
    <w:qFormat/>
    <w:uiPriority w:val="30"/>
    <w:rPr>
      <w:i/>
      <w:iCs/>
      <w:color w:val="104862" w:themeColor="accent1" w:themeShade="BF"/>
    </w:rPr>
  </w:style>
  <w:style w:type="character" w:customStyle="1" w:styleId="37">
    <w:name w:val="Intense Reference"/>
    <w:basedOn w:val="19"/>
    <w:qFormat/>
    <w:uiPriority w:val="32"/>
    <w:rPr>
      <w:b/>
      <w:bCs/>
      <w:smallCaps/>
      <w:color w:val="104862" w:themeColor="accent1" w:themeShade="BF"/>
      <w:spacing w:val="5"/>
    </w:rPr>
  </w:style>
  <w:style w:type="character" w:customStyle="1" w:styleId="38">
    <w:name w:val="页眉 字符"/>
    <w:basedOn w:val="19"/>
    <w:link w:val="13"/>
    <w:qFormat/>
    <w:uiPriority w:val="99"/>
    <w:rPr>
      <w:sz w:val="18"/>
      <w:szCs w:val="18"/>
    </w:rPr>
  </w:style>
  <w:style w:type="character" w:customStyle="1" w:styleId="39">
    <w:name w:val="页脚 字符"/>
    <w:basedOn w:val="19"/>
    <w:link w:val="12"/>
    <w:qFormat/>
    <w:uiPriority w:val="99"/>
    <w:rPr>
      <w:sz w:val="18"/>
      <w:szCs w:val="18"/>
    </w:rPr>
  </w:style>
  <w:style w:type="table" w:customStyle="1" w:styleId="40">
    <w:name w:val="Table Normal"/>
    <w:semiHidden/>
    <w:unhideWhenUsed/>
    <w:qFormat/>
    <w:uiPriority w:val="0"/>
    <w:rPr>
      <w:rFonts w:ascii="Arial" w:hAnsi="Arial" w:cs="Arial"/>
      <w:snapToGrid w:val="0"/>
      <w:color w:val="000000"/>
      <w:kern w:val="0"/>
      <w:sz w:val="21"/>
      <w:szCs w:val="21"/>
      <w:lang w:eastAsia="en-US"/>
      <w14:ligatures w14:val="none"/>
    </w:rPr>
    <w:tblPr>
      <w:tblCellMar>
        <w:top w:w="0" w:type="dxa"/>
        <w:left w:w="0" w:type="dxa"/>
        <w:bottom w:w="0" w:type="dxa"/>
        <w:right w:w="0" w:type="dxa"/>
      </w:tblCellMar>
    </w:tblPr>
  </w:style>
  <w:style w:type="paragraph" w:customStyle="1" w:styleId="41">
    <w:name w:val="Table Text"/>
    <w:basedOn w:val="1"/>
    <w:semiHidden/>
    <w:qFormat/>
    <w:uiPriority w:val="0"/>
    <w:pPr>
      <w:widowControl/>
      <w:kinsoku w:val="0"/>
      <w:autoSpaceDE w:val="0"/>
      <w:autoSpaceDN w:val="0"/>
      <w:adjustRightInd w:val="0"/>
      <w:snapToGrid w:val="0"/>
      <w:spacing w:line="240" w:lineRule="auto"/>
      <w:textAlignment w:val="baseline"/>
    </w:pPr>
    <w:rPr>
      <w:rFonts w:ascii="宋体" w:hAnsi="宋体" w:eastAsia="宋体" w:cs="宋体"/>
      <w:snapToGrid w:val="0"/>
      <w:color w:val="000000"/>
      <w:kern w:val="0"/>
      <w:sz w:val="10"/>
      <w:szCs w:val="10"/>
      <w:lang w:eastAsia="en-US"/>
      <w14:ligatures w14:val="none"/>
    </w:rPr>
  </w:style>
  <w:style w:type="table" w:customStyle="1" w:styleId="42">
    <w:name w:val="网格型1"/>
    <w:basedOn w:val="17"/>
    <w:qFormat/>
    <w:uiPriority w:val="39"/>
    <w:pPr>
      <w:widowControl w:val="0"/>
      <w:spacing w:after="0" w:line="240" w:lineRule="auto"/>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2</Pages>
  <Words>3548</Words>
  <Characters>3672</Characters>
  <Lines>27</Lines>
  <Paragraphs>7</Paragraphs>
  <TotalTime>30</TotalTime>
  <ScaleCrop>false</ScaleCrop>
  <LinksUpToDate>false</LinksUpToDate>
  <CharactersWithSpaces>3687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2025-06-26T06:13:00Z</dcterms:created>
  <dc:creator>Nancy Herrera</dc:creator>
  <cp:lastModifiedBy>黄路斌</cp:lastModifiedBy>
  <dcterms:modified xsi:type="dcterms:W3CDTF">2026-09-09T01:17:54Z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eyJoZGlkIjoiZThhOGJiMmU4OGNjYzUwYTQxMWIwODcyNjBlYTEyNmEiLCJ1c2VySWQiOiIxNTY4NjU1ODIxIn0=</vt:lpwstr>
  </property>
  <property fmtid="{D5CDD505-2E9C-101B-9397-08002B2CF9AE}" pid="3" name="KSOProductBuildVer">
    <vt:lpwstr>2052-12.1.0.28505</vt:lpwstr>
  </property>
  <property fmtid="{D5CDD505-2E9C-101B-9397-08002B2CF9AE}" pid="4" name="ICV">
    <vt:lpwstr>4728F0D02FC84C5785A03CF611E98150_13</vt:lpwstr>
  </property>
</Properties>
</file>