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2C602">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sz w:val="28"/>
          <w:szCs w:val="28"/>
        </w:rPr>
        <w:t>附件2：</w:t>
      </w:r>
      <w:r>
        <w:rPr>
          <w:rFonts w:hint="eastAsia"/>
          <w:sz w:val="28"/>
          <w:szCs w:val="28"/>
          <w:lang w:val="en-US" w:eastAsia="zh-CN"/>
        </w:rPr>
        <w:t>货物技术参数</w:t>
      </w:r>
    </w:p>
    <w:tbl>
      <w:tblPr>
        <w:tblStyle w:val="5"/>
        <w:tblW w:w="8522" w:type="dxa"/>
        <w:jc w:val="center"/>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60"/>
        <w:gridCol w:w="2048"/>
        <w:gridCol w:w="5154"/>
        <w:gridCol w:w="660"/>
      </w:tblGrid>
      <w:tr w14:paraId="75477BFF">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tblHeader/>
          <w:jc w:val="center"/>
        </w:trPr>
        <w:tc>
          <w:tcPr>
            <w:tcW w:w="66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251CC111">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bCs/>
                <w:i w:val="0"/>
                <w:iCs w:val="0"/>
                <w:caps w:val="0"/>
                <w:color w:val="000000"/>
                <w:spacing w:val="0"/>
                <w:sz w:val="21"/>
                <w:szCs w:val="21"/>
              </w:rPr>
              <w:t>序号</w:t>
            </w:r>
          </w:p>
        </w:tc>
        <w:tc>
          <w:tcPr>
            <w:tcW w:w="2048"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5DFF5DBE">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bCs/>
                <w:i w:val="0"/>
                <w:iCs w:val="0"/>
                <w:caps w:val="0"/>
                <w:color w:val="000000"/>
                <w:spacing w:val="0"/>
                <w:sz w:val="21"/>
                <w:szCs w:val="21"/>
              </w:rPr>
              <w:t>产品名称</w:t>
            </w:r>
          </w:p>
        </w:tc>
        <w:tc>
          <w:tcPr>
            <w:tcW w:w="5154"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0E0BC474">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bCs/>
                <w:i w:val="0"/>
                <w:iCs w:val="0"/>
                <w:caps w:val="0"/>
                <w:color w:val="000000"/>
                <w:spacing w:val="0"/>
                <w:sz w:val="21"/>
                <w:szCs w:val="21"/>
              </w:rPr>
              <w:t>产品描述</w:t>
            </w:r>
          </w:p>
        </w:tc>
        <w:tc>
          <w:tcPr>
            <w:tcW w:w="660"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1642350D">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bCs/>
                <w:i w:val="0"/>
                <w:iCs w:val="0"/>
                <w:caps w:val="0"/>
                <w:color w:val="000000"/>
                <w:spacing w:val="0"/>
                <w:sz w:val="21"/>
                <w:szCs w:val="21"/>
              </w:rPr>
              <w:t>备注</w:t>
            </w:r>
          </w:p>
        </w:tc>
      </w:tr>
      <w:tr w14:paraId="7D574ECB">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60" w:type="dxa"/>
            <w:vMerge w:val="restart"/>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10878A09">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1</w:t>
            </w:r>
          </w:p>
        </w:tc>
        <w:tc>
          <w:tcPr>
            <w:tcW w:w="2048" w:type="dxa"/>
            <w:vMerge w:val="restart"/>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0B949D48">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lang w:val="en-US" w:eastAsia="zh-CN"/>
              </w:rPr>
            </w:pPr>
            <w:r>
              <w:rPr>
                <w:rFonts w:hint="eastAsia" w:ascii="宋体" w:hAnsi="宋体" w:eastAsia="宋体" w:cs="宋体"/>
                <w:i w:val="0"/>
                <w:iCs w:val="0"/>
                <w:caps w:val="0"/>
                <w:color w:val="000000"/>
                <w:spacing w:val="0"/>
                <w:sz w:val="21"/>
                <w:szCs w:val="21"/>
                <w:lang w:val="en-US" w:eastAsia="zh-CN"/>
              </w:rPr>
              <w:t>屏风卡位</w:t>
            </w:r>
          </w:p>
        </w:tc>
        <w:tc>
          <w:tcPr>
            <w:tcW w:w="5154"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410F243E">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1.1规格（mm）：1800W*1450D*1300H</w:t>
            </w:r>
          </w:p>
        </w:tc>
        <w:tc>
          <w:tcPr>
            <w:tcW w:w="660" w:type="dxa"/>
            <w:vMerge w:val="restart"/>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51A4E230">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p>
        </w:tc>
      </w:tr>
      <w:tr w14:paraId="56F3C5C5">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59" w:hRule="atLeast"/>
          <w:jc w:val="center"/>
        </w:trPr>
        <w:tc>
          <w:tcPr>
            <w:tcW w:w="660" w:type="dxa"/>
            <w:vMerge w:val="continue"/>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08043F25">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c>
          <w:tcPr>
            <w:tcW w:w="2048" w:type="dxa"/>
            <w:vMerge w:val="continue"/>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70B01036">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c>
          <w:tcPr>
            <w:tcW w:w="5154"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6A9E2A2F">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1.2材质：屏风厚度≥40mm，采用铝合金型材框架，表面粉末静电喷涂或氧化处理，屏风铝材主龙管厚度≥1.2 mm，上下屏风表面采用浸渍胶膜纸饰面，基材为E0级中密度纤维板，台面厚度25mm承重力强；封边：采用环保加厚PVC硬胶边，ABS环保热熔颗粒胶封边处理，封边严密、平整、无脱胶，表面无胶渍；配置: 屏风+主台面+副边台+矮柜+钢脚+台面上屏风走线盖；五金件：五金连接件，静音阻尼三节滑轨，台面下钢制方通增加台面承重力，哑白色静电喷涂防锈处理。</w:t>
            </w:r>
          </w:p>
        </w:tc>
        <w:tc>
          <w:tcPr>
            <w:tcW w:w="660" w:type="dxa"/>
            <w:vMerge w:val="continue"/>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1FBC2A89">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r>
      <w:tr w14:paraId="163B3BAD">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660" w:type="dxa"/>
            <w:vMerge w:val="continue"/>
            <w:tcBorders>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396A62A7">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sz w:val="21"/>
                <w:szCs w:val="21"/>
              </w:rPr>
            </w:pPr>
          </w:p>
        </w:tc>
        <w:tc>
          <w:tcPr>
            <w:tcW w:w="2048" w:type="dxa"/>
            <w:vMerge w:val="continue"/>
            <w:tcBorders>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5D2085F9">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sz w:val="21"/>
                <w:szCs w:val="21"/>
              </w:rPr>
            </w:pPr>
          </w:p>
        </w:tc>
        <w:tc>
          <w:tcPr>
            <w:tcW w:w="5154"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5B3F607F">
            <w:pPr>
              <w:widowControl/>
              <w:rPr>
                <w:rFonts w:hint="eastAsia" w:ascii="宋体" w:hAnsi="宋体" w:eastAsia="宋体" w:cs="宋体"/>
                <w:b w:val="0"/>
                <w:bCs w:val="0"/>
                <w:color w:val="000000"/>
                <w:sz w:val="21"/>
                <w:szCs w:val="21"/>
              </w:rPr>
            </w:pPr>
            <w:r>
              <w:rPr>
                <w:rFonts w:hint="eastAsia" w:ascii="宋体" w:hAnsi="宋体" w:eastAsia="宋体" w:cs="宋体"/>
                <w:color w:val="000000"/>
                <w:sz w:val="21"/>
                <w:szCs w:val="21"/>
                <w:lang w:val="en-US" w:eastAsia="zh-CN"/>
              </w:rPr>
              <w:t>1.3</w:t>
            </w: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lang w:val="en-US" w:eastAsia="zh-CN"/>
              </w:rPr>
              <w:t>屏风卡位</w:t>
            </w:r>
            <w:r>
              <w:rPr>
                <w:rFonts w:hint="eastAsia" w:ascii="宋体" w:hAnsi="宋体" w:eastAsia="宋体" w:cs="宋体"/>
                <w:b w:val="0"/>
                <w:bCs w:val="0"/>
                <w:color w:val="000000"/>
                <w:sz w:val="21"/>
                <w:szCs w:val="21"/>
              </w:rPr>
              <w:t>：</w:t>
            </w:r>
          </w:p>
          <w:p w14:paraId="2C47F4B5">
            <w:pPr>
              <w:widowControl/>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依据GB/T 22792.3-2008：</w:t>
            </w:r>
          </w:p>
          <w:p w14:paraId="3BAB0580">
            <w:pPr>
              <w:widowControl/>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承载屏风稳定性：试验时屏风未倾翻，符合；</w:t>
            </w:r>
          </w:p>
          <w:p w14:paraId="6958C46E">
            <w:pPr>
              <w:widowControl/>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部件移出试验：所有组件未被移出，结构无损坏，符合；</w:t>
            </w:r>
          </w:p>
          <w:p w14:paraId="17297B89">
            <w:pPr>
              <w:widowControl/>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加载强度试验：加载 100kg、保载 24h，装配件稳定、无破损、无变形松动，符合；</w:t>
            </w:r>
          </w:p>
          <w:p w14:paraId="703F0367">
            <w:pPr>
              <w:widowControl/>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依据GB/T 22792.1-2009：</w:t>
            </w:r>
          </w:p>
          <w:p w14:paraId="029C3C4E">
            <w:pPr>
              <w:widowControl/>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屏风工艺要求：符合；屏风可接受载荷明示要求：符合；高度：符合；主要功能尺寸符合；</w:t>
            </w:r>
          </w:p>
          <w:p w14:paraId="4B519D07">
            <w:pPr>
              <w:widowControl/>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依据GB/T 36022-2018：氨未检出；</w:t>
            </w:r>
          </w:p>
          <w:p w14:paraId="1B456591">
            <w:pPr>
              <w:widowControl/>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依据GB/T 38794-2020：甲醛释放量：≤0.05mg/m³；</w:t>
            </w:r>
          </w:p>
          <w:p w14:paraId="7C2ABF5F">
            <w:pPr>
              <w:widowControl/>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依据QB/T 4668-2014：桌面宽度、深度、固定高度：符合；中间净空高：符合；中间净空宽：符合；</w:t>
            </w:r>
          </w:p>
          <w:p w14:paraId="1F236896">
            <w:pPr>
              <w:widowControl/>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依据QB/T 4371-2012：</w:t>
            </w:r>
          </w:p>
          <w:p w14:paraId="4F0C6B57">
            <w:pPr>
              <w:widowControl/>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金黄色葡萄球菌（ATCC6538）：抑菌值＞99%，符合；</w:t>
            </w:r>
          </w:p>
          <w:p w14:paraId="77760F06">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大肠埃希氏菌 (ASI.90)：抑菌值＞99%，符合。</w:t>
            </w:r>
          </w:p>
          <w:p w14:paraId="3D9EC4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rPr>
              <w:t>▲喷涂粉末：</w:t>
            </w:r>
            <w:r>
              <w:rPr>
                <w:rFonts w:hint="eastAsia" w:ascii="宋体" w:hAnsi="宋体" w:eastAsia="宋体" w:cs="宋体"/>
                <w:b w:val="0"/>
                <w:bCs w:val="0"/>
                <w:color w:val="000000"/>
                <w:sz w:val="21"/>
                <w:szCs w:val="21"/>
                <w:lang w:val="en-US" w:eastAsia="zh-CN"/>
              </w:rPr>
              <w:t>依据</w:t>
            </w:r>
            <w:r>
              <w:rPr>
                <w:rFonts w:hint="eastAsia" w:ascii="宋体" w:hAnsi="宋体" w:eastAsia="宋体" w:cs="宋体"/>
                <w:b w:val="0"/>
                <w:bCs w:val="0"/>
                <w:color w:val="000000"/>
                <w:sz w:val="21"/>
                <w:szCs w:val="21"/>
              </w:rPr>
              <w:t>HG/T 2006-2022：I型1类热固性粉末涂料的要求：外观：色泽均匀，无异物，呈松散粉末状；筛余物（125μm）：全部通过；涂膜外观：正常；铅笔硬度（内聚破坏中擦伤）≥5H； 附着力：干附着力≤1级；耐冲击性（正向冲击）：未观察到裂纹、皱纹及剥落现象；耐磨性（750g/500r）≤41mg；杯突试验≥7mm；弯曲试验≤2mm，涂层无开裂或从底材上剥落；耐酸性[3%（质量分数）盐酸溶液]：不低于220h无异常；耐碱性[5%（质量分数）氢氧化钠溶液]：168h无异常；耐沸水性（2h）：无异常；耐盐雾性：中性：≥220h划痕处单向腐蚀蔓延宽度0.8mm，未划痕区无起泡、生锈、开裂、剥落等异常现象；耐湿性（室内用）：≥220h无异常。</w:t>
            </w:r>
          </w:p>
          <w:p w14:paraId="61D8655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15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lang w:val="en-US" w:eastAsia="zh-CN"/>
              </w:rPr>
            </w:pPr>
            <w:r>
              <w:rPr>
                <w:rFonts w:hint="eastAsia" w:ascii="宋体" w:hAnsi="宋体" w:eastAsia="宋体" w:cs="宋体"/>
                <w:color w:val="000000"/>
                <w:sz w:val="21"/>
                <w:szCs w:val="21"/>
              </w:rPr>
              <w:t>（上述▲参数投标人需提供检验报告：1、检验报告上具有 CMA 标识；2、检验报告出具日期在 202</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年1</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月至本项目公告日前；3、须在一份检验报告中全部满足或优于该项参数要求，否则视为不符合；4、报告上委托/受检单位为投标人或所投产品任一制造商；5、同时需提供“全国认证认可信息公共服务平台(http://cx.cnca.cn/)”的报告查询记录截图，因该平台升级等原因导致无法查询的，则需提供通过检测机构官网、邮箱等可靠途径查询所提交检测报告具体内容的真实性的证明材料或者检测机构盖章的证明材料，证明该报告真实有效。）</w:t>
            </w:r>
          </w:p>
        </w:tc>
        <w:tc>
          <w:tcPr>
            <w:tcW w:w="660" w:type="dxa"/>
            <w:vMerge w:val="continue"/>
            <w:tcBorders>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7A1FED17">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val="en-US" w:eastAsia="zh-CN"/>
              </w:rPr>
            </w:pPr>
          </w:p>
        </w:tc>
      </w:tr>
      <w:tr w14:paraId="5EAD23D0">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660" w:type="dxa"/>
            <w:vMerge w:val="restart"/>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57262543">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rPr>
              <w:t>2</w:t>
            </w:r>
          </w:p>
        </w:tc>
        <w:tc>
          <w:tcPr>
            <w:tcW w:w="2048" w:type="dxa"/>
            <w:vMerge w:val="restart"/>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027B6C23">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i w:val="0"/>
                <w:iCs w:val="0"/>
                <w:caps w:val="0"/>
                <w:color w:val="000000"/>
                <w:spacing w:val="0"/>
                <w:sz w:val="21"/>
                <w:szCs w:val="21"/>
                <w:lang w:val="en-US" w:eastAsia="zh-CN"/>
              </w:rPr>
              <w:t>办公</w:t>
            </w:r>
            <w:r>
              <w:rPr>
                <w:rFonts w:hint="eastAsia" w:ascii="宋体" w:hAnsi="宋体" w:eastAsia="宋体" w:cs="宋体"/>
                <w:i w:val="0"/>
                <w:iCs w:val="0"/>
                <w:caps w:val="0"/>
                <w:color w:val="000000"/>
                <w:spacing w:val="0"/>
                <w:sz w:val="21"/>
                <w:szCs w:val="21"/>
              </w:rPr>
              <w:t>椅</w:t>
            </w:r>
          </w:p>
        </w:tc>
        <w:tc>
          <w:tcPr>
            <w:tcW w:w="5154"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71E3DF3C">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2.1规格（mm）：常规</w:t>
            </w:r>
          </w:p>
        </w:tc>
        <w:tc>
          <w:tcPr>
            <w:tcW w:w="660" w:type="dxa"/>
            <w:vMerge w:val="restart"/>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637B3802">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color w:val="000000"/>
                <w:sz w:val="21"/>
                <w:szCs w:val="21"/>
              </w:rPr>
            </w:pPr>
          </w:p>
        </w:tc>
      </w:tr>
      <w:tr w14:paraId="74E242CE">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660" w:type="dxa"/>
            <w:vMerge w:val="continue"/>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2E2D5E7A">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c>
          <w:tcPr>
            <w:tcW w:w="2048" w:type="dxa"/>
            <w:vMerge w:val="continue"/>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3106493C">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c>
          <w:tcPr>
            <w:tcW w:w="5154"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177122D1">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2.2材质：整体框架：黑色高强度尼龙+ 玻璃纤维；面料：优质高弹性网布；扶手：高强度尼龙+玻璃纤维+PU扶手垫+塑胶内管；背支撑架：黑色高强度尼龙+ 玻璃纤维；底盘：T型单杆式机械底盘；气压棒：BIFMA、EN1335、AFRDI、JIA认证之优质气压棒，四级80MM行程；椅脚：350MM高载重高强度尼龙+玻璃纤维椅脚（超越行业标准，可载重1500KG)；滑轮：BIFMA、AFRDI、JIA认证之60MMPU滑轮。</w:t>
            </w:r>
          </w:p>
        </w:tc>
        <w:tc>
          <w:tcPr>
            <w:tcW w:w="660" w:type="dxa"/>
            <w:vMerge w:val="continue"/>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7F48CF44">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r>
      <w:tr w14:paraId="64B4BA46">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59" w:hRule="atLeast"/>
          <w:jc w:val="center"/>
        </w:trPr>
        <w:tc>
          <w:tcPr>
            <w:tcW w:w="660" w:type="dxa"/>
            <w:vMerge w:val="continue"/>
            <w:tcBorders>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110125B6">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sz w:val="21"/>
                <w:szCs w:val="21"/>
              </w:rPr>
            </w:pPr>
          </w:p>
        </w:tc>
        <w:tc>
          <w:tcPr>
            <w:tcW w:w="2048" w:type="dxa"/>
            <w:vMerge w:val="continue"/>
            <w:tcBorders>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510E0887">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sz w:val="21"/>
                <w:szCs w:val="21"/>
              </w:rPr>
            </w:pPr>
          </w:p>
        </w:tc>
        <w:tc>
          <w:tcPr>
            <w:tcW w:w="5154"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4A68C0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rPr>
            </w:pPr>
            <w:r>
              <w:rPr>
                <w:rFonts w:hint="eastAsia" w:ascii="宋体" w:hAnsi="宋体" w:eastAsia="宋体" w:cs="宋体"/>
                <w:color w:val="000000"/>
                <w:sz w:val="21"/>
                <w:szCs w:val="21"/>
                <w:lang w:val="en-US" w:eastAsia="zh-CN"/>
              </w:rPr>
              <w:t>2.3</w:t>
            </w:r>
            <w:r>
              <w:rPr>
                <w:rFonts w:hint="eastAsia" w:ascii="宋体" w:hAnsi="宋体" w:eastAsia="宋体" w:cs="宋体"/>
                <w:b w:val="0"/>
                <w:bCs w:val="0"/>
                <w:color w:val="000000"/>
                <w:sz w:val="21"/>
                <w:szCs w:val="21"/>
              </w:rPr>
              <w:t>▲办公椅：</w:t>
            </w:r>
          </w:p>
          <w:p w14:paraId="7DC082C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依据QB/T 2280-2016：</w:t>
            </w:r>
          </w:p>
          <w:p w14:paraId="6D4D52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形状位置公差：椅背偏心度≤41mm、外形对称度≤2.5mm、着地平稳性＜0.2、座面左右水平偏差≤1.5mm；</w:t>
            </w:r>
          </w:p>
          <w:p w14:paraId="4A4B24A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理化性能：泡沫密度≥32g/m³、面料干摩擦色牢度4-5 级、回弹性≥43%、压缩永久变形≤7%；金属涂层/镀层耐盐雾符合、附着力1级；电镀层无锈点；</w:t>
            </w:r>
          </w:p>
          <w:p w14:paraId="45703D7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力学性能：向前/侧向/向后倾翻均未倾翻；座面冲击、扶手垂直/水平静载荷、底座静载荷、椅背往复耐久（I型、II型及III型）、倾斜机构、座面往复冲击、座面左右弯曲耐久均符合要求；</w:t>
            </w:r>
          </w:p>
          <w:p w14:paraId="41FD2D5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阻燃性：无续燃、无阴燃；</w:t>
            </w:r>
          </w:p>
          <w:p w14:paraId="6366BD1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甲醛释放量：≤0.04mg/m²・h；</w:t>
            </w:r>
          </w:p>
          <w:p w14:paraId="37F1AD1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TVOC：≤0.15mg/m²·h。</w:t>
            </w:r>
          </w:p>
          <w:p w14:paraId="55502D0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依据QB/T 5224-2018：</w:t>
            </w:r>
          </w:p>
          <w:p w14:paraId="63C5657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尺寸：轮径≥54mm、偏心距≥19mm、双联轮宽2×9.0±0.1mm、轮间距 17~18mm、倒圆半径均达标；外观装配：符合要求；抗冲击性符合要求；静载荷：轮径变形量 0.6±0.1%；耐低温性能：符合要求。</w:t>
            </w:r>
          </w:p>
          <w:p w14:paraId="41C34E9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依据 QB/T 4668-2014：</w:t>
            </w:r>
          </w:p>
          <w:p w14:paraId="15243DD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依据GB/T 40906-2021：</w:t>
            </w:r>
          </w:p>
          <w:p w14:paraId="75D04EC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DBP、BBP、DEHP、DNOP、DINP、DIDP均未检出；</w:t>
            </w:r>
          </w:p>
          <w:p w14:paraId="06C9C97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依据QB/T 4371-2012：金黄色葡萄球菌 (ATCC 6538)：抑菌值＞99%、大肠杆菌 (ATCC 25922)：抑菌值＞99%、大肠埃希氏菌 (AS1.90)：抑菌值＞99%、肺炎克雷伯氏菌 (AS1.1736)：抑菌值＞99%。</w:t>
            </w:r>
          </w:p>
          <w:p w14:paraId="06D7EBA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15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sz w:val="21"/>
                <w:szCs w:val="21"/>
                <w:lang w:val="en-US" w:eastAsia="zh-CN"/>
              </w:rPr>
              <w:t>耐磨脚轮：</w:t>
            </w:r>
          </w:p>
          <w:p w14:paraId="6483AF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依据GB/T9341-2008：双立柱材料试验机测试弯曲强度平均值74MPa±2；</w:t>
            </w:r>
          </w:p>
          <w:p w14:paraId="40A9367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依据GB/T 1043.1-2008：摆锤冲击试验机测试简支梁无缺口冲击强度完全破坏类型平均值100(kJ/m²)±1；</w:t>
            </w:r>
          </w:p>
          <w:p w14:paraId="51142B9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依据GB/T 1040.1-2018或GB/T 1040.1-2025,GB/T 1040.2-2022：电子万能材料试验机测试拉伸强度平均值62MPa±1，拉伸断裂标称应变平均值11%±1；</w:t>
            </w:r>
          </w:p>
          <w:p w14:paraId="417A56C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依据GB/T 2411-2008：邵氏硬度计D型测试邵氏硬度平均值76±1；</w:t>
            </w:r>
          </w:p>
          <w:p w14:paraId="3F49DAC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依据GB/T 16422.2-2022：比色灯箱测试氙灯老化试验灰卡等级4-5级。</w:t>
            </w:r>
          </w:p>
          <w:p w14:paraId="41FE592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依据GB/T 2408-2021：水平垂直燃烧试验仪测试燃烧性(水平燃烧)符合HB等级燃烧要求。</w:t>
            </w:r>
          </w:p>
          <w:p w14:paraId="2318AA0C">
            <w:pPr>
              <w:pStyle w:val="2"/>
              <w:keepNext w:val="0"/>
              <w:keepLines w:val="0"/>
              <w:pageBreakBefore w:val="0"/>
              <w:widowControl w:val="0"/>
              <w:kinsoku/>
              <w:wordWrap/>
              <w:overflowPunct/>
              <w:topLinePunct w:val="0"/>
              <w:autoSpaceDE/>
              <w:autoSpaceDN/>
              <w:bidi w:val="0"/>
              <w:adjustRightInd/>
              <w:snapToGrid/>
              <w:spacing w:before="150" w:line="240" w:lineRule="auto"/>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sz w:val="21"/>
                <w:szCs w:val="21"/>
              </w:rPr>
              <w:t>▲</w:t>
            </w:r>
            <w:r>
              <w:rPr>
                <w:rFonts w:hint="eastAsia" w:ascii="宋体" w:hAnsi="宋体" w:eastAsia="宋体" w:cs="宋体"/>
                <w:b w:val="0"/>
                <w:bCs w:val="0"/>
                <w:color w:val="000000"/>
                <w:kern w:val="0"/>
                <w:sz w:val="21"/>
                <w:szCs w:val="21"/>
                <w:lang w:val="en-US" w:eastAsia="zh-CN" w:bidi="ar"/>
              </w:rPr>
              <w:t>PU定型海绵：</w:t>
            </w:r>
          </w:p>
          <w:p w14:paraId="348E9829">
            <w:pPr>
              <w:pStyle w:val="2"/>
              <w:spacing w:line="240" w:lineRule="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依据GB/T 10802-2023：40%压陷硬度偏差+8N；恒定负荷反复压陷疲劳后的40%压陷硬度损失值18.0%±1；灰分≤2.68%；甲醛散发≤0.77mg/kg；</w:t>
            </w:r>
          </w:p>
          <w:p w14:paraId="32B96D6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依据GB/T 40908-2021：多溴联苯、多溴二苯醚未检出。</w:t>
            </w:r>
          </w:p>
          <w:p w14:paraId="0A602B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15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▲环保网布：</w:t>
            </w:r>
          </w:p>
          <w:p w14:paraId="7A8041D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15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依据FZ/T 62011.3-2016：残留金属物：无遗留物；断裂强力（N）：直向≥1000，横向：≥820；干洗尺寸变化率：直向±1.0%，横向±1.2%；水洗尺寸变化率：直向±0.65%，横向±1.0%；起毛起球≥4-5级；撕破强力（N）：直向≥92，横向≥99；耐干洗色牢度：变色、沾色（棉）、沾色（聚酯纤维）均≥4-5级；耐光色牢度≥3级；耐皂洗色牢度：变色、沾色（棉）、沾色（聚酯纤维）均≥4-5级；</w:t>
            </w:r>
          </w:p>
          <w:p w14:paraId="7C8FA3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依据GB/T 35611-2017：耐汗渍色牢度：变色-酸、沾色（棉）-酸、沾色（聚酯纤维）-酸、变色-碱、沾色（棉）-碱、沾色（聚酯纤维-碱）均≥4-5级；耐摩擦色牢度（干摩）：沾色-干摩≥4-5级；耐摩擦色牢度（湿摩）：沾色-湿摩≥4-5级；耐水色牢度：变色、沾色（棉）、沾色（聚酯纤维）均≥4-5级；可萃取重金属：砷(As)、铅(Pb)、铬(Cr)、钴(Co)、铜(Cu)、镍(Ni)、镉(Cd)、六价铬(CrVl)、汞(Hg)均未检出（N.D.），锑(Sb)≤5.0mg/kg；多环芳烃（16项）、邻苯二甲酸酯、氯化苯和氯化甲苯总量、总铅、总镉、有机锡化合物均未检出（N.D.）；</w:t>
            </w:r>
          </w:p>
          <w:p w14:paraId="6C6CD40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依据GB18401-2010：甲醛含量未检出（N.D.），pH值为4.0~6.5，无异味，可分解致癌芳香胺染料（24项）未检出（N.D.）。</w:t>
            </w:r>
          </w:p>
          <w:p w14:paraId="43E4367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150" w:beforeAutospacing="0" w:after="0" w:afterAutospacing="0" w:line="240" w:lineRule="auto"/>
              <w:ind w:left="0" w:leftChars="0" w:right="0" w:rightChars="0" w:firstLine="0" w:firstLineChars="0"/>
              <w:jc w:val="left"/>
              <w:textAlignment w:val="auto"/>
              <w:rPr>
                <w:rFonts w:hint="eastAsia" w:ascii="宋体" w:hAnsi="宋体" w:eastAsia="宋体" w:cs="宋体"/>
                <w:b w:val="0"/>
                <w:bCs w:val="0"/>
                <w:color w:val="000000"/>
                <w:sz w:val="21"/>
                <w:szCs w:val="21"/>
                <w:lang w:val="en-US" w:eastAsia="zh-CN"/>
              </w:rPr>
            </w:pPr>
            <w:r>
              <w:rPr>
                <w:rFonts w:hint="eastAsia" w:ascii="宋体" w:hAnsi="宋体" w:eastAsia="宋体" w:cs="宋体"/>
                <w:color w:val="000000"/>
                <w:sz w:val="21"/>
                <w:szCs w:val="21"/>
              </w:rPr>
              <w:t>（上述▲参数投标人需提供检验报告：1、检验报告上具有 CMA 标识；2、检验报告出具日期在 2024年1月至本项目公告日前；3、须在一份检验报告中全部满足或优于该项参数要求，否则视为不符合；4、报告上委托/受检单位为投标人或所投产品任一制造商；5、同时需提供“全国认证认可信息公共服务平台(http://cx.cnca.cn/)”的报告查询记录截图，因该平台升级等原因导致无法查询的，则需提供通过检测机构官网、邮箱等可靠途径查询所提交检测报告具体内容的真实性的证明材料或者检测机构盖章的证明材料，证明该报告真实有效。）</w:t>
            </w:r>
          </w:p>
        </w:tc>
        <w:tc>
          <w:tcPr>
            <w:tcW w:w="660" w:type="dxa"/>
            <w:vMerge w:val="continue"/>
            <w:tcBorders>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2B290901">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val="en-US" w:eastAsia="zh-CN"/>
              </w:rPr>
            </w:pPr>
          </w:p>
        </w:tc>
      </w:tr>
      <w:tr w14:paraId="76E28FBA">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31" w:hRule="atLeast"/>
          <w:jc w:val="center"/>
        </w:trPr>
        <w:tc>
          <w:tcPr>
            <w:tcW w:w="660" w:type="dxa"/>
            <w:vMerge w:val="restart"/>
            <w:tcBorders>
              <w:top w:val="single" w:color="EEEEEE" w:sz="6" w:space="0"/>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289FC58A">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3</w:t>
            </w:r>
          </w:p>
        </w:tc>
        <w:tc>
          <w:tcPr>
            <w:tcW w:w="2048" w:type="dxa"/>
            <w:vMerge w:val="restart"/>
            <w:tcBorders>
              <w:top w:val="single" w:color="EEEEEE" w:sz="6" w:space="0"/>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2F8B2B97">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i w:val="0"/>
                <w:iCs w:val="0"/>
                <w:caps w:val="0"/>
                <w:color w:val="000000"/>
                <w:spacing w:val="0"/>
                <w:sz w:val="21"/>
                <w:szCs w:val="21"/>
                <w:lang w:val="en-US"/>
              </w:rPr>
            </w:pPr>
            <w:r>
              <w:rPr>
                <w:rFonts w:hint="eastAsia" w:ascii="宋体" w:hAnsi="宋体" w:eastAsia="宋体" w:cs="宋体"/>
                <w:i w:val="0"/>
                <w:iCs w:val="0"/>
                <w:caps w:val="0"/>
                <w:color w:val="000000"/>
                <w:spacing w:val="0"/>
                <w:sz w:val="21"/>
                <w:szCs w:val="21"/>
                <w:lang w:val="en-US" w:eastAsia="zh-CN"/>
              </w:rPr>
              <w:t>增补屏风</w:t>
            </w:r>
          </w:p>
        </w:tc>
        <w:tc>
          <w:tcPr>
            <w:tcW w:w="5154"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2E4BA238">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3.1规格（mm）：1450W*1300H</w:t>
            </w:r>
          </w:p>
        </w:tc>
        <w:tc>
          <w:tcPr>
            <w:tcW w:w="660" w:type="dxa"/>
            <w:vMerge w:val="restart"/>
            <w:tcBorders>
              <w:top w:val="single" w:color="EEEEEE" w:sz="6" w:space="0"/>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7984F22C">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r>
      <w:tr w14:paraId="017CDC16">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31" w:hRule="atLeast"/>
          <w:jc w:val="center"/>
        </w:trPr>
        <w:tc>
          <w:tcPr>
            <w:tcW w:w="660" w:type="dxa"/>
            <w:vMerge w:val="continue"/>
            <w:tcBorders>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4C79429B">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sz w:val="21"/>
                <w:szCs w:val="21"/>
              </w:rPr>
            </w:pPr>
          </w:p>
        </w:tc>
        <w:tc>
          <w:tcPr>
            <w:tcW w:w="2048" w:type="dxa"/>
            <w:vMerge w:val="continue"/>
            <w:tcBorders>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0ADDEFA1">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sz w:val="21"/>
                <w:szCs w:val="21"/>
              </w:rPr>
            </w:pPr>
          </w:p>
        </w:tc>
        <w:tc>
          <w:tcPr>
            <w:tcW w:w="5154"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128FBE6C">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3.2材质：屏风厚度≥40mm,采用铝合金型材框架，表面粉末静电喷涂或氧化处理,屏风铝材主龙管厚度≥1.2 mm，上下屏风表面采用浸渍胶膜纸饰面，基材为E0级中密度纤维板；含增补所需配件</w:t>
            </w:r>
          </w:p>
        </w:tc>
        <w:tc>
          <w:tcPr>
            <w:tcW w:w="660" w:type="dxa"/>
            <w:vMerge w:val="continue"/>
            <w:tcBorders>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598DAF6E">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val="en-US" w:eastAsia="zh-CN"/>
              </w:rPr>
            </w:pPr>
          </w:p>
        </w:tc>
      </w:tr>
      <w:tr w14:paraId="04C1ED38">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31" w:hRule="atLeast"/>
          <w:jc w:val="center"/>
        </w:trPr>
        <w:tc>
          <w:tcPr>
            <w:tcW w:w="660" w:type="dxa"/>
            <w:vMerge w:val="restart"/>
            <w:tcBorders>
              <w:top w:val="single" w:color="EEEEEE" w:sz="6" w:space="0"/>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0E0C5EBB">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4</w:t>
            </w:r>
          </w:p>
        </w:tc>
        <w:tc>
          <w:tcPr>
            <w:tcW w:w="2048" w:type="dxa"/>
            <w:vMerge w:val="restart"/>
            <w:tcBorders>
              <w:top w:val="single" w:color="EEEEEE" w:sz="6" w:space="0"/>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510BF46C">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增补台面板</w:t>
            </w:r>
          </w:p>
        </w:tc>
        <w:tc>
          <w:tcPr>
            <w:tcW w:w="5154"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3C75AF11">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4.1规格（mm）：1800（500）*1450（500）</w:t>
            </w:r>
          </w:p>
        </w:tc>
        <w:tc>
          <w:tcPr>
            <w:tcW w:w="660" w:type="dxa"/>
            <w:vMerge w:val="restart"/>
            <w:tcBorders>
              <w:top w:val="single" w:color="EEEEEE" w:sz="6" w:space="0"/>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7D8252B5">
            <w:pPr>
              <w:snapToGrid w:val="0"/>
              <w:ind w:left="0" w:leftChars="0" w:right="0" w:rightChars="0" w:firstLine="0" w:firstLineChars="0"/>
              <w:jc w:val="center"/>
              <w:rPr>
                <w:rFonts w:hint="eastAsia" w:ascii="宋体" w:hAnsi="宋体" w:eastAsia="宋体" w:cs="宋体"/>
                <w:i w:val="0"/>
                <w:iCs w:val="0"/>
                <w:caps w:val="0"/>
                <w:color w:val="000000"/>
                <w:spacing w:val="0"/>
                <w:sz w:val="21"/>
                <w:szCs w:val="21"/>
              </w:rPr>
            </w:pPr>
          </w:p>
        </w:tc>
      </w:tr>
      <w:tr w14:paraId="720CA745">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tblCellMar>
            <w:top w:w="0" w:type="dxa"/>
            <w:left w:w="0" w:type="dxa"/>
            <w:bottom w:w="0" w:type="dxa"/>
            <w:right w:w="0" w:type="dxa"/>
          </w:tblCellMar>
        </w:tblPrEx>
        <w:trPr>
          <w:trHeight w:val="331" w:hRule="atLeast"/>
          <w:jc w:val="center"/>
        </w:trPr>
        <w:tc>
          <w:tcPr>
            <w:tcW w:w="660" w:type="dxa"/>
            <w:vMerge w:val="continue"/>
            <w:tcBorders>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324D4179">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sz w:val="21"/>
                <w:szCs w:val="21"/>
              </w:rPr>
            </w:pPr>
          </w:p>
        </w:tc>
        <w:tc>
          <w:tcPr>
            <w:tcW w:w="2048" w:type="dxa"/>
            <w:vMerge w:val="continue"/>
            <w:tcBorders>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10BE1A6F">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sz w:val="21"/>
                <w:szCs w:val="21"/>
              </w:rPr>
            </w:pPr>
          </w:p>
        </w:tc>
        <w:tc>
          <w:tcPr>
            <w:tcW w:w="5154"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4023925B">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4.2材质</w:t>
            </w:r>
            <w:r>
              <w:rPr>
                <w:rFonts w:hint="eastAsia" w:ascii="宋体" w:hAnsi="宋体" w:cs="宋体"/>
                <w:color w:val="000000"/>
                <w:sz w:val="21"/>
                <w:szCs w:val="21"/>
                <w:lang w:val="en-US" w:eastAsia="zh-CN"/>
              </w:rPr>
              <w:t>：</w:t>
            </w:r>
            <w:r>
              <w:rPr>
                <w:rFonts w:hint="eastAsia" w:ascii="宋体" w:hAnsi="宋体" w:eastAsia="宋体" w:cs="宋体"/>
                <w:color w:val="000000"/>
                <w:sz w:val="21"/>
                <w:szCs w:val="21"/>
                <w:lang w:val="en-US" w:eastAsia="zh-CN"/>
              </w:rPr>
              <w:t>台面厚度25mm承重力强；封边：采用环保加厚PVC硬胶边，ABS环保热熔颗粒胶封边处理，封边严密、平整、无脱胶，表面无胶渍</w:t>
            </w:r>
          </w:p>
        </w:tc>
        <w:tc>
          <w:tcPr>
            <w:tcW w:w="660" w:type="dxa"/>
            <w:vMerge w:val="continue"/>
            <w:tcBorders>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03ED0407">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eastAsia="zh-CN"/>
              </w:rPr>
            </w:pPr>
          </w:p>
        </w:tc>
      </w:tr>
      <w:tr w14:paraId="31527C0E">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tblCellMar>
            <w:top w:w="0" w:type="dxa"/>
            <w:left w:w="0" w:type="dxa"/>
            <w:bottom w:w="0" w:type="dxa"/>
            <w:right w:w="0" w:type="dxa"/>
          </w:tblCellMar>
        </w:tblPrEx>
        <w:trPr>
          <w:trHeight w:val="331" w:hRule="atLeast"/>
          <w:jc w:val="center"/>
        </w:trPr>
        <w:tc>
          <w:tcPr>
            <w:tcW w:w="660" w:type="dxa"/>
            <w:tcBorders>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7377E78C">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2048" w:type="dxa"/>
            <w:tcBorders>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73A540FF">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sz w:val="21"/>
                <w:szCs w:val="21"/>
              </w:rPr>
              <w:t>增补钢脚</w:t>
            </w:r>
          </w:p>
        </w:tc>
        <w:tc>
          <w:tcPr>
            <w:tcW w:w="5154"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50A1CE9D">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钢制脚架，哑白色静电喷涂防锈处理，带脚垫；尺寸：常规。</w:t>
            </w:r>
          </w:p>
        </w:tc>
        <w:tc>
          <w:tcPr>
            <w:tcW w:w="660" w:type="dxa"/>
            <w:tcBorders>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3E1FFF3A">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eastAsia="zh-CN"/>
              </w:rPr>
            </w:pPr>
          </w:p>
        </w:tc>
      </w:tr>
      <w:tr w14:paraId="64284D86">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38" w:hRule="atLeast"/>
          <w:jc w:val="center"/>
        </w:trPr>
        <w:tc>
          <w:tcPr>
            <w:tcW w:w="660" w:type="dxa"/>
            <w:vMerge w:val="restart"/>
            <w:tcBorders>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07DBF3DA">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048" w:type="dxa"/>
            <w:vMerge w:val="restart"/>
            <w:tcBorders>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6646A9B8">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sz w:val="21"/>
                <w:szCs w:val="21"/>
              </w:rPr>
              <w:t>增补背柜</w:t>
            </w:r>
          </w:p>
        </w:tc>
        <w:tc>
          <w:tcPr>
            <w:tcW w:w="5154"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02A8707B">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6.1</w:t>
            </w:r>
            <w:r>
              <w:rPr>
                <w:rFonts w:hint="eastAsia" w:ascii="宋体" w:hAnsi="宋体" w:eastAsia="宋体" w:cs="宋体"/>
                <w:color w:val="000000"/>
                <w:sz w:val="21"/>
                <w:szCs w:val="21"/>
                <w:lang w:val="en-US" w:eastAsia="zh-CN"/>
              </w:rPr>
              <w:t>规格（mm）：</w:t>
            </w:r>
            <w:r>
              <w:rPr>
                <w:rFonts w:hint="eastAsia" w:ascii="宋体" w:hAnsi="宋体" w:eastAsia="宋体" w:cs="宋体"/>
                <w:color w:val="000000"/>
                <w:sz w:val="21"/>
                <w:szCs w:val="21"/>
                <w:lang w:val="en-US" w:eastAsia="zh-CN"/>
              </w:rPr>
              <w:t>1450W400D750H</w:t>
            </w:r>
          </w:p>
        </w:tc>
        <w:tc>
          <w:tcPr>
            <w:tcW w:w="660" w:type="dxa"/>
            <w:vMerge w:val="restart"/>
            <w:tcBorders>
              <w:left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03E6A384">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eastAsia="zh-CN"/>
              </w:rPr>
            </w:pPr>
          </w:p>
        </w:tc>
      </w:tr>
      <w:tr w14:paraId="54632935">
        <w:tblPrEx>
          <w:tblBorders>
            <w:top w:val="single" w:color="EEEEEE" w:sz="6" w:space="0"/>
            <w:left w:val="none" w:color="auto" w:sz="0" w:space="0"/>
            <w:bottom w:val="single" w:color="EEEEEE" w:sz="6" w:space="0"/>
            <w:right w:val="single" w:color="EEEEEE" w:sz="6" w:space="0"/>
            <w:insideH w:val="none" w:color="auto" w:sz="0" w:space="0"/>
            <w:insideV w:val="none" w:color="auto" w:sz="0" w:space="0"/>
          </w:tblBorders>
          <w:tblCellMar>
            <w:top w:w="0" w:type="dxa"/>
            <w:left w:w="0" w:type="dxa"/>
            <w:bottom w:w="0" w:type="dxa"/>
            <w:right w:w="0" w:type="dxa"/>
          </w:tblCellMar>
        </w:tblPrEx>
        <w:trPr>
          <w:trHeight w:val="338" w:hRule="atLeast"/>
          <w:jc w:val="center"/>
        </w:trPr>
        <w:tc>
          <w:tcPr>
            <w:tcW w:w="660" w:type="dxa"/>
            <w:vMerge w:val="continue"/>
            <w:tcBorders>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0944962C">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pPr>
          </w:p>
        </w:tc>
        <w:tc>
          <w:tcPr>
            <w:tcW w:w="2048" w:type="dxa"/>
            <w:vMerge w:val="continue"/>
            <w:tcBorders>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38CD4F0E">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pPr>
          </w:p>
        </w:tc>
        <w:tc>
          <w:tcPr>
            <w:tcW w:w="5154" w:type="dxa"/>
            <w:tcBorders>
              <w:top w:val="single" w:color="EEEEEE" w:sz="6" w:space="0"/>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465E53EF">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r>
              <w:rPr>
                <w:rFonts w:hint="eastAsia" w:ascii="宋体" w:hAnsi="宋体" w:eastAsia="宋体" w:cs="宋体"/>
                <w:color w:val="000000"/>
                <w:sz w:val="21"/>
                <w:szCs w:val="21"/>
                <w:lang w:val="en-US" w:eastAsia="zh-CN"/>
              </w:rPr>
              <w:t>2材质</w:t>
            </w:r>
            <w:r>
              <w:rPr>
                <w:rFonts w:hint="eastAsia" w:ascii="宋体" w:hAnsi="宋体" w:cs="宋体"/>
                <w:color w:val="000000"/>
                <w:sz w:val="21"/>
                <w:szCs w:val="21"/>
                <w:lang w:val="en-US" w:eastAsia="zh-CN"/>
              </w:rPr>
              <w:t>：台面厚度25mm承重力强；封边：采用环保加厚PVC硬胶边，ABS环保热熔颗粒胶封边处理，封边严密、平整、无脱胶，表面无胶渍</w:t>
            </w:r>
          </w:p>
        </w:tc>
        <w:tc>
          <w:tcPr>
            <w:tcW w:w="660" w:type="dxa"/>
            <w:vMerge w:val="continue"/>
            <w:tcBorders>
              <w:left w:val="single" w:color="EEEEEE" w:sz="6" w:space="0"/>
              <w:bottom w:val="single" w:color="EEEEEE" w:sz="6" w:space="0"/>
              <w:right w:val="single" w:color="EEEEEE" w:sz="6" w:space="0"/>
            </w:tcBorders>
            <w:shd w:val="clear" w:color="auto" w:fill="FFFFFF"/>
            <w:noWrap w:val="0"/>
            <w:tcMar>
              <w:top w:w="120" w:type="dxa"/>
              <w:left w:w="120" w:type="dxa"/>
              <w:bottom w:w="120" w:type="dxa"/>
              <w:right w:w="120" w:type="dxa"/>
            </w:tcMar>
            <w:vAlign w:val="center"/>
          </w:tcPr>
          <w:p w14:paraId="27113017">
            <w:pPr>
              <w:pStyle w:val="4"/>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150" w:afterAutospacing="0" w:line="240" w:lineRule="auto"/>
              <w:ind w:left="0" w:leftChars="0" w:right="0" w:rightChars="0" w:firstLine="0" w:firstLineChars="0"/>
              <w:jc w:val="left"/>
              <w:rPr>
                <w:rFonts w:hint="eastAsia" w:ascii="宋体" w:hAnsi="宋体" w:eastAsia="宋体" w:cs="宋体"/>
                <w:color w:val="000000"/>
                <w:sz w:val="21"/>
                <w:szCs w:val="21"/>
                <w:lang w:val="en-US" w:eastAsia="zh-CN"/>
              </w:rPr>
            </w:pPr>
          </w:p>
        </w:tc>
      </w:tr>
    </w:tbl>
    <w:p w14:paraId="3C9A3ACD">
      <w:pPr>
        <w:rPr>
          <w:rFonts w:hint="default"/>
          <w:sz w:val="28"/>
          <w:szCs w:val="28"/>
          <w:lang w:val="en-US" w:eastAsia="zh-CN"/>
        </w:rPr>
      </w:pPr>
    </w:p>
    <w:p w14:paraId="6B62494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6E377C"/>
    <w:rsid w:val="008D3FB9"/>
    <w:rsid w:val="216E377C"/>
    <w:rsid w:val="4BFD41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b/>
      <w:bCs/>
      <w:kern w:val="0"/>
      <w:sz w:val="24"/>
      <w:szCs w:val="24"/>
    </w:rPr>
  </w:style>
  <w:style w:type="paragraph" w:styleId="3">
    <w:name w:val="Body Text 2"/>
    <w:basedOn w:val="1"/>
    <w:qFormat/>
    <w:uiPriority w:val="0"/>
    <w:pPr>
      <w:spacing w:line="360" w:lineRule="auto"/>
    </w:pPr>
    <w:rPr>
      <w:kern w:val="0"/>
      <w:sz w:val="24"/>
      <w:szCs w:val="24"/>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1618</Words>
  <Characters>2150</Characters>
  <Lines>0</Lines>
  <Paragraphs>0</Paragraphs>
  <TotalTime>11</TotalTime>
  <ScaleCrop>false</ScaleCrop>
  <LinksUpToDate>false</LinksUpToDate>
  <CharactersWithSpaces>2178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2026-07-03T15:26:00Z</dcterms:created>
  <dc:creator>秦思</dc:creator>
  <cp:lastModifiedBy>DELL</cp:lastModifiedBy>
  <cp:lastPrinted>2026-07-23T09:19:36Z</cp:lastPrinted>
  <dcterms:modified xsi:type="dcterms:W3CDTF">2026-07-23T09:19:42Z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1761B4A48A9748489C554C9766E3F92E_13</vt:lpwstr>
  </property>
  <property fmtid="{D5CDD505-2E9C-101B-9397-08002B2CF9AE}" pid="4" name="KSOTemplateDocerSaveRecord">
    <vt:lpwstr>eyJoZGlkIjoiMGU3Y2EyZDYzNjAyMzRkZDU3ZjRmNTdmZTJmODE2YmEiLCJ1c2VySWQiOiI5OTc1NTcxNzQifQ==</vt:lpwstr>
  </property>
</Properties>
</file>