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52346">
      <w:pPr>
        <w:pStyle w:val="40"/>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4"/>
        <w:tblW w:w="91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10"/>
        <w:gridCol w:w="5"/>
        <w:gridCol w:w="493"/>
        <w:gridCol w:w="53"/>
        <w:gridCol w:w="680"/>
        <w:gridCol w:w="1371"/>
        <w:gridCol w:w="774"/>
        <w:gridCol w:w="53"/>
        <w:gridCol w:w="5691"/>
        <w:gridCol w:w="5"/>
      </w:tblGrid>
      <w:tr w14:paraId="43D2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Before w:val="2"/>
          <w:wBefore w:w="15" w:type="dxa"/>
          <w:tblCellSpacing w:w="0" w:type="dxa"/>
          <w:jc w:val="center"/>
        </w:trPr>
        <w:tc>
          <w:tcPr>
            <w:tcW w:w="9120" w:type="dxa"/>
            <w:gridSpan w:val="8"/>
            <w:vAlign w:val="center"/>
          </w:tcPr>
          <w:p w14:paraId="15A70761">
            <w:pPr>
              <w:jc w:val="left"/>
              <w:rPr>
                <w:rFonts w:hint="default" w:ascii="宋体" w:hAnsi="宋体" w:eastAsia="宋体" w:cs="宋体"/>
                <w:b w:val="0"/>
                <w:bCs w:val="0"/>
                <w:sz w:val="24"/>
                <w:lang w:val="en-US" w:eastAsia="zh-CN"/>
              </w:rPr>
            </w:pPr>
            <w:r>
              <w:rPr>
                <w:b w:val="0"/>
                <w:bCs w:val="0"/>
              </w:rPr>
              <w:t>评标方法：</w:t>
            </w:r>
            <w:r>
              <w:rPr>
                <w:rFonts w:hint="eastAsia"/>
                <w:b w:val="0"/>
                <w:bCs w:val="0"/>
                <w:lang w:val="en-US" w:eastAsia="zh-CN"/>
              </w:rPr>
              <w:t>综合评分法</w:t>
            </w:r>
          </w:p>
        </w:tc>
      </w:tr>
      <w:tr w14:paraId="1508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Before w:val="2"/>
          <w:wBefore w:w="15" w:type="dxa"/>
          <w:tblCellSpacing w:w="0" w:type="dxa"/>
          <w:jc w:val="center"/>
        </w:trPr>
        <w:tc>
          <w:tcPr>
            <w:tcW w:w="9120" w:type="dxa"/>
            <w:gridSpan w:val="8"/>
            <w:vAlign w:val="center"/>
          </w:tcPr>
          <w:p w14:paraId="6B85AF13">
            <w:pPr>
              <w:pStyle w:val="40"/>
              <w:spacing w:beforeAutospacing="0" w:afterAutospacing="0" w:line="360" w:lineRule="exact"/>
              <w:ind w:firstLine="420"/>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 xml:space="preserve">综合评分法，是指投标文件满足招标文件全部实质性要求，且按照评审因素的量化指标评审得分最高的投标人为中标候选人的评标方法。 </w:t>
            </w:r>
          </w:p>
          <w:p w14:paraId="4F10D4C0">
            <w:pPr>
              <w:pStyle w:val="40"/>
              <w:spacing w:line="324" w:lineRule="auto"/>
              <w:ind w:left="420"/>
              <w:rPr>
                <w:b w:val="0"/>
                <w:bCs w:val="0"/>
                <w:sz w:val="21"/>
                <w:szCs w:val="21"/>
              </w:rPr>
            </w:pPr>
          </w:p>
        </w:tc>
      </w:tr>
      <w:tr w14:paraId="7B45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Before w:val="2"/>
          <w:wBefore w:w="15" w:type="dxa"/>
          <w:tblCellSpacing w:w="0" w:type="dxa"/>
          <w:jc w:val="center"/>
        </w:trPr>
        <w:tc>
          <w:tcPr>
            <w:tcW w:w="9120" w:type="dxa"/>
            <w:gridSpan w:val="8"/>
            <w:vAlign w:val="center"/>
          </w:tcPr>
          <w:p w14:paraId="66439E0A">
            <w:pPr>
              <w:pStyle w:val="40"/>
              <w:spacing w:line="324" w:lineRule="auto"/>
              <w:ind w:left="420"/>
              <w:rPr>
                <w:rFonts w:hint="eastAsia"/>
                <w:b w:val="0"/>
                <w:bCs w:val="0"/>
                <w:sz w:val="21"/>
                <w:szCs w:val="21"/>
              </w:rPr>
            </w:pPr>
          </w:p>
        </w:tc>
      </w:tr>
      <w:tr w14:paraId="699ACC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0" w:type="dxa"/>
          <w:wAfter w:w="5" w:type="dxa"/>
          <w:tblCellSpacing w:w="0" w:type="dxa"/>
          <w:jc w:val="center"/>
        </w:trPr>
        <w:tc>
          <w:tcPr>
            <w:tcW w:w="551" w:type="dxa"/>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61F97C15">
            <w:pPr>
              <w:wordWrap w:val="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序号</w:t>
            </w:r>
          </w:p>
        </w:tc>
        <w:tc>
          <w:tcPr>
            <w:tcW w:w="2878" w:type="dxa"/>
            <w:gridSpan w:val="4"/>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1FF01C5">
            <w:pPr>
              <w:wordWrap w:val="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评分项</w:t>
            </w:r>
          </w:p>
        </w:tc>
        <w:tc>
          <w:tcPr>
            <w:tcW w:w="5691"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359EBFB5">
            <w:pPr>
              <w:wordWrap w:val="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权重(%)</w:t>
            </w:r>
          </w:p>
        </w:tc>
      </w:tr>
      <w:tr w14:paraId="13E555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0" w:type="dxa"/>
          <w:wAfter w:w="5" w:type="dxa"/>
          <w:tblCellSpacing w:w="0" w:type="dxa"/>
          <w:jc w:val="center"/>
        </w:trPr>
        <w:tc>
          <w:tcPr>
            <w:tcW w:w="551" w:type="dxa"/>
            <w:gridSpan w:val="3"/>
            <w:vMerge w:val="restart"/>
            <w:tcBorders>
              <w:top w:val="single" w:color="000000" w:sz="8" w:space="0"/>
              <w:left w:val="single" w:color="000000" w:sz="8" w:space="0"/>
              <w:bottom w:val="single" w:color="000000" w:sz="8" w:space="0"/>
              <w:right w:val="single" w:color="000000" w:sz="8" w:space="0"/>
            </w:tcBorders>
            <w:noWrap w:val="0"/>
            <w:vAlign w:val="top"/>
          </w:tcPr>
          <w:p w14:paraId="28634B6C">
            <w:pPr>
              <w:wordWrap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2878" w:type="dxa"/>
            <w:gridSpan w:val="4"/>
            <w:tcBorders>
              <w:top w:val="single" w:color="000000" w:sz="8" w:space="0"/>
              <w:left w:val="single" w:color="000000" w:sz="8" w:space="0"/>
              <w:bottom w:val="single" w:color="000000" w:sz="8" w:space="0"/>
              <w:right w:val="single" w:color="000000" w:sz="8" w:space="0"/>
            </w:tcBorders>
            <w:noWrap w:val="0"/>
            <w:vAlign w:val="top"/>
          </w:tcPr>
          <w:p w14:paraId="1EA296EE">
            <w:pPr>
              <w:wordWrap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w:t>
            </w:r>
          </w:p>
        </w:tc>
        <w:tc>
          <w:tcPr>
            <w:tcW w:w="5691" w:type="dxa"/>
            <w:tcBorders>
              <w:top w:val="single" w:color="000000" w:sz="8" w:space="0"/>
              <w:left w:val="single" w:color="000000" w:sz="8" w:space="0"/>
              <w:bottom w:val="single" w:color="000000" w:sz="8" w:space="0"/>
              <w:right w:val="single" w:color="000000" w:sz="8" w:space="0"/>
            </w:tcBorders>
            <w:noWrap w:val="0"/>
            <w:vAlign w:val="top"/>
          </w:tcPr>
          <w:p w14:paraId="02BDF589">
            <w:pPr>
              <w:wordWrap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w:t>
            </w:r>
          </w:p>
        </w:tc>
      </w:tr>
      <w:tr w14:paraId="2C4AC6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0" w:type="dxa"/>
          <w:wAfter w:w="5" w:type="dxa"/>
          <w:tblCellSpacing w:w="0" w:type="dxa"/>
          <w:jc w:val="center"/>
        </w:trPr>
        <w:tc>
          <w:tcPr>
            <w:tcW w:w="551" w:type="dxa"/>
            <w:gridSpan w:val="3"/>
            <w:vMerge w:val="continue"/>
            <w:tcBorders>
              <w:top w:val="single" w:color="000000" w:sz="8" w:space="0"/>
              <w:left w:val="single" w:color="000000" w:sz="8" w:space="0"/>
              <w:bottom w:val="single" w:color="000000" w:sz="8" w:space="0"/>
              <w:right w:val="single" w:color="000000" w:sz="8" w:space="0"/>
            </w:tcBorders>
            <w:noWrap w:val="0"/>
            <w:vAlign w:val="center"/>
          </w:tcPr>
          <w:p w14:paraId="1AF4734C">
            <w:pPr>
              <w:rPr>
                <w:rFonts w:hint="eastAsia" w:ascii="宋体" w:hAnsi="宋体" w:eastAsia="宋体" w:cs="宋体"/>
                <w:b w:val="0"/>
                <w:bCs w:val="0"/>
                <w:color w:val="auto"/>
                <w:sz w:val="24"/>
                <w:szCs w:val="24"/>
                <w:highlight w:val="none"/>
              </w:rPr>
            </w:pPr>
          </w:p>
        </w:tc>
        <w:tc>
          <w:tcPr>
            <w:tcW w:w="8569" w:type="dxa"/>
            <w:gridSpan w:val="5"/>
            <w:tcBorders>
              <w:top w:val="single" w:color="000000" w:sz="8" w:space="0"/>
              <w:left w:val="single" w:color="000000" w:sz="8" w:space="0"/>
              <w:bottom w:val="single" w:color="000000" w:sz="8" w:space="0"/>
              <w:right w:val="single" w:color="000000" w:sz="8" w:space="0"/>
            </w:tcBorders>
            <w:noWrap w:val="0"/>
            <w:vAlign w:val="top"/>
          </w:tcPr>
          <w:p w14:paraId="34CA85E3">
            <w:pPr>
              <w:pStyle w:val="40"/>
              <w:spacing w:beforeAutospacing="0" w:afterAutospacing="0" w:line="360" w:lineRule="exact"/>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t>价格分计算方法：</w:t>
            </w:r>
          </w:p>
          <w:p w14:paraId="2DA340A9">
            <w:pPr>
              <w:pStyle w:val="40"/>
              <w:spacing w:beforeAutospacing="0" w:afterAutospacing="0" w:line="360" w:lineRule="exact"/>
              <w:rPr>
                <w:rFonts w:hint="default" w:ascii="Times New Roman" w:hAnsi="Times New Roman" w:eastAsia="宋体" w:cs="Times New Roman"/>
                <w:b w:val="0"/>
                <w:bCs w:val="0"/>
                <w:sz w:val="21"/>
                <w:szCs w:val="21"/>
              </w:rPr>
            </w:pPr>
            <w:r>
              <w:rPr>
                <w:rFonts w:hint="default" w:ascii="Times New Roman" w:hAnsi="Times New Roman" w:cs="Times New Roman"/>
                <w:b w:val="0"/>
                <w:bCs w:val="0"/>
                <w:sz w:val="21"/>
                <w:szCs w:val="21"/>
              </w:rPr>
              <w:t xml:space="preserve">采用低价优先法计算，即满足招标文件要求且投标价格最低的投标报价为评标基准价，其价格分为满分。其他投标人的价格分统一按照下列公式计算： </w:t>
            </w:r>
          </w:p>
          <w:p w14:paraId="12E94826">
            <w:pPr>
              <w:pStyle w:val="40"/>
              <w:spacing w:beforeAutospacing="0" w:afterAutospacing="0" w:line="360" w:lineRule="exact"/>
              <w:rPr>
                <w:rFonts w:hint="default" w:ascii="Times New Roman" w:hAnsi="Times New Roman" w:eastAsia="宋体" w:cs="Times New Roman"/>
                <w:b w:val="0"/>
                <w:bCs w:val="0"/>
                <w:sz w:val="21"/>
                <w:szCs w:val="21"/>
              </w:rPr>
            </w:pPr>
            <w:r>
              <w:rPr>
                <w:rFonts w:hint="default" w:ascii="Times New Roman" w:hAnsi="Times New Roman" w:cs="Times New Roman"/>
                <w:b w:val="0"/>
                <w:bCs w:val="0"/>
                <w:sz w:val="21"/>
                <w:szCs w:val="21"/>
              </w:rPr>
              <w:t xml:space="preserve">投标报价得分=(评标基准价／投标报价)×100 </w:t>
            </w:r>
          </w:p>
          <w:p w14:paraId="6DE7E84B">
            <w:pPr>
              <w:pStyle w:val="40"/>
              <w:spacing w:beforeAutospacing="0" w:afterAutospacing="0" w:line="360" w:lineRule="exact"/>
              <w:rPr>
                <w:rFonts w:hint="default" w:ascii="Times New Roman" w:hAnsi="Times New Roman" w:eastAsia="宋体" w:cs="Times New Roman"/>
                <w:b w:val="0"/>
                <w:bCs w:val="0"/>
                <w:sz w:val="21"/>
                <w:szCs w:val="21"/>
              </w:rPr>
            </w:pPr>
            <w:r>
              <w:rPr>
                <w:rFonts w:hint="default" w:ascii="Times New Roman" w:hAnsi="Times New Roman" w:cs="Times New Roman"/>
                <w:b w:val="0"/>
                <w:bCs w:val="0"/>
                <w:sz w:val="21"/>
                <w:szCs w:val="21"/>
              </w:rPr>
              <w:t xml:space="preserve">评标总得分＝F1×A1＋F2×A2＋……＋Fn×An </w:t>
            </w:r>
          </w:p>
          <w:p w14:paraId="7F793CDC">
            <w:pPr>
              <w:pStyle w:val="40"/>
              <w:spacing w:beforeAutospacing="0" w:afterAutospacing="0" w:line="360" w:lineRule="exact"/>
              <w:rPr>
                <w:rFonts w:hint="default" w:ascii="Times New Roman" w:hAnsi="Times New Roman" w:eastAsia="宋体" w:cs="Times New Roman"/>
                <w:b w:val="0"/>
                <w:bCs w:val="0"/>
                <w:sz w:val="21"/>
                <w:szCs w:val="21"/>
              </w:rPr>
            </w:pPr>
            <w:r>
              <w:rPr>
                <w:rFonts w:hint="default" w:ascii="Times New Roman" w:hAnsi="Times New Roman" w:cs="Times New Roman"/>
                <w:b w:val="0"/>
                <w:bCs w:val="0"/>
                <w:sz w:val="21"/>
                <w:szCs w:val="21"/>
              </w:rPr>
              <w:t xml:space="preserve">F1、F2……Fn分别为各项评审因素的得分； </w:t>
            </w:r>
          </w:p>
          <w:p w14:paraId="5653F5F2">
            <w:pPr>
              <w:pStyle w:val="40"/>
              <w:spacing w:beforeAutospacing="0" w:afterAutospacing="0" w:line="360" w:lineRule="exact"/>
              <w:rPr>
                <w:rFonts w:hint="default" w:ascii="Times New Roman" w:hAnsi="Times New Roman" w:eastAsia="宋体" w:cs="Times New Roman"/>
                <w:b w:val="0"/>
                <w:bCs w:val="0"/>
                <w:sz w:val="21"/>
                <w:szCs w:val="21"/>
              </w:rPr>
            </w:pPr>
            <w:r>
              <w:rPr>
                <w:rFonts w:hint="default" w:ascii="Times New Roman" w:hAnsi="Times New Roman" w:cs="Times New Roman"/>
                <w:b w:val="0"/>
                <w:bCs w:val="0"/>
                <w:sz w:val="21"/>
                <w:szCs w:val="21"/>
              </w:rPr>
              <w:t xml:space="preserve">A1、A2、……An 分别为各项评审因素所占的权重(A1＋A2＋……＋An＝1)。 </w:t>
            </w:r>
          </w:p>
          <w:p w14:paraId="7C7DCBDA">
            <w:pPr>
              <w:pStyle w:val="40"/>
              <w:spacing w:beforeAutospacing="0" w:afterAutospacing="0" w:line="360" w:lineRule="exact"/>
              <w:rPr>
                <w:rFonts w:hint="default" w:ascii="Times New Roman" w:hAnsi="Times New Roman" w:eastAsia="宋体" w:cs="Times New Roman"/>
                <w:b w:val="0"/>
                <w:bCs w:val="0"/>
                <w:sz w:val="21"/>
                <w:szCs w:val="21"/>
              </w:rPr>
            </w:pPr>
            <w:r>
              <w:rPr>
                <w:rFonts w:hint="default" w:ascii="Times New Roman" w:hAnsi="Times New Roman" w:cs="Times New Roman"/>
                <w:b w:val="0"/>
                <w:bCs w:val="0"/>
                <w:sz w:val="21"/>
                <w:szCs w:val="21"/>
              </w:rPr>
              <w:t xml:space="preserve">评标过程中，不得去掉报价中的最高报价和最低报价。 </w:t>
            </w:r>
          </w:p>
          <w:p w14:paraId="25B88562">
            <w:pPr>
              <w:wordWrap w:val="0"/>
              <w:rPr>
                <w:rFonts w:hint="eastAsia" w:ascii="宋体" w:hAnsi="宋体" w:eastAsia="宋体" w:cs="宋体"/>
                <w:b w:val="0"/>
                <w:bCs w:val="0"/>
                <w:color w:val="auto"/>
                <w:sz w:val="24"/>
                <w:szCs w:val="24"/>
                <w:highlight w:val="none"/>
              </w:rPr>
            </w:pPr>
            <w:r>
              <w:rPr>
                <w:rFonts w:hint="default" w:ascii="Times New Roman" w:hAnsi="Times New Roman" w:cs="Times New Roman"/>
                <w:b w:val="0"/>
                <w:bCs w:val="0"/>
                <w:sz w:val="21"/>
                <w:szCs w:val="21"/>
              </w:rPr>
              <w:t>此方法适用于货物类、服务类、工程类项目。</w:t>
            </w:r>
          </w:p>
        </w:tc>
      </w:tr>
      <w:tr w14:paraId="3F8B82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0" w:type="dxa"/>
          <w:wAfter w:w="5" w:type="dxa"/>
          <w:trHeight w:val="316" w:hRule="atLeast"/>
          <w:tblCellSpacing w:w="0" w:type="dxa"/>
          <w:jc w:val="center"/>
        </w:trPr>
        <w:tc>
          <w:tcPr>
            <w:tcW w:w="551" w:type="dxa"/>
            <w:gridSpan w:val="3"/>
            <w:vMerge w:val="restart"/>
            <w:tcBorders>
              <w:top w:val="single" w:color="000000" w:sz="8" w:space="0"/>
              <w:left w:val="single" w:color="000000" w:sz="8" w:space="0"/>
              <w:bottom w:val="single" w:color="000000" w:sz="8" w:space="0"/>
              <w:right w:val="single" w:color="000000" w:sz="8" w:space="0"/>
            </w:tcBorders>
            <w:noWrap w:val="0"/>
            <w:vAlign w:val="top"/>
          </w:tcPr>
          <w:p w14:paraId="77E107B8">
            <w:pPr>
              <w:wordWrap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2878" w:type="dxa"/>
            <w:gridSpan w:val="4"/>
            <w:tcBorders>
              <w:top w:val="single" w:color="000000" w:sz="8" w:space="0"/>
              <w:left w:val="single" w:color="000000" w:sz="8" w:space="0"/>
              <w:bottom w:val="single" w:color="000000" w:sz="8" w:space="0"/>
              <w:right w:val="single" w:color="000000" w:sz="8" w:space="0"/>
            </w:tcBorders>
            <w:noWrap w:val="0"/>
            <w:vAlign w:val="top"/>
          </w:tcPr>
          <w:p w14:paraId="10C5DFDC">
            <w:pPr>
              <w:wordWrap w:val="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技术服务部分</w:t>
            </w:r>
          </w:p>
        </w:tc>
        <w:tc>
          <w:tcPr>
            <w:tcW w:w="5691" w:type="dxa"/>
            <w:tcBorders>
              <w:top w:val="single" w:color="000000" w:sz="8" w:space="0"/>
              <w:left w:val="single" w:color="000000" w:sz="8" w:space="0"/>
              <w:bottom w:val="single" w:color="000000" w:sz="8" w:space="0"/>
              <w:right w:val="single" w:color="000000" w:sz="8" w:space="0"/>
            </w:tcBorders>
            <w:noWrap w:val="0"/>
            <w:vAlign w:val="top"/>
          </w:tcPr>
          <w:p w14:paraId="56FCEA71">
            <w:pPr>
              <w:wordWrap w:val="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40</w:t>
            </w:r>
          </w:p>
        </w:tc>
      </w:tr>
      <w:tr w14:paraId="23F651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Before w:val="1"/>
          <w:gridAfter w:val="1"/>
          <w:wBefore w:w="10" w:type="dxa"/>
          <w:wAfter w:w="5" w:type="dxa"/>
          <w:tblCellSpacing w:w="0" w:type="dxa"/>
          <w:jc w:val="center"/>
        </w:trPr>
        <w:tc>
          <w:tcPr>
            <w:tcW w:w="551" w:type="dxa"/>
            <w:gridSpan w:val="3"/>
            <w:vMerge w:val="continue"/>
            <w:tcBorders>
              <w:top w:val="single" w:color="000000" w:sz="8" w:space="0"/>
              <w:left w:val="single" w:color="000000" w:sz="8" w:space="0"/>
              <w:bottom w:val="single" w:color="000000" w:sz="8" w:space="0"/>
              <w:right w:val="single" w:color="000000" w:sz="8" w:space="0"/>
            </w:tcBorders>
            <w:noWrap w:val="0"/>
            <w:vAlign w:val="center"/>
          </w:tcPr>
          <w:p w14:paraId="0E342AF8">
            <w:pPr>
              <w:rPr>
                <w:rFonts w:hint="eastAsia" w:ascii="宋体" w:hAnsi="宋体" w:eastAsia="宋体" w:cs="宋体"/>
                <w:b w:val="0"/>
                <w:bCs w:val="0"/>
                <w:color w:val="0000FF"/>
                <w:sz w:val="24"/>
                <w:szCs w:val="24"/>
                <w:highlight w:val="none"/>
              </w:rPr>
            </w:pPr>
          </w:p>
        </w:tc>
        <w:tc>
          <w:tcPr>
            <w:tcW w:w="8569" w:type="dxa"/>
            <w:gridSpan w:val="5"/>
            <w:tcBorders>
              <w:top w:val="single" w:color="000000" w:sz="8" w:space="0"/>
              <w:left w:val="single" w:color="000000" w:sz="8" w:space="0"/>
              <w:bottom w:val="single" w:color="000000" w:sz="8" w:space="0"/>
              <w:right w:val="single" w:color="000000" w:sz="8" w:space="0"/>
            </w:tcBorders>
            <w:noWrap w:val="0"/>
            <w:vAlign w:val="top"/>
          </w:tcPr>
          <w:p w14:paraId="50B81FC5">
            <w:pPr>
              <w:wordWrap w:val="0"/>
              <w:rPr>
                <w:rFonts w:hint="eastAsia" w:ascii="宋体" w:hAnsi="宋体" w:eastAsia="宋体" w:cs="宋体"/>
                <w:b w:val="0"/>
                <w:bCs w:val="0"/>
                <w:sz w:val="24"/>
                <w:szCs w:val="24"/>
                <w:highlight w:val="none"/>
              </w:rPr>
            </w:pPr>
          </w:p>
        </w:tc>
      </w:tr>
      <w:tr w14:paraId="5AC336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 w:type="dxa"/>
          <w:tblCellSpacing w:w="0" w:type="dxa"/>
          <w:jc w:val="center"/>
        </w:trPr>
        <w:tc>
          <w:tcPr>
            <w:tcW w:w="508" w:type="dxa"/>
            <w:gridSpan w:val="3"/>
            <w:vMerge w:val="restart"/>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655BBFA8">
            <w:pPr>
              <w:rPr>
                <w:rFonts w:hint="eastAsia" w:ascii="宋体" w:hAnsi="宋体" w:eastAsia="宋体" w:cs="宋体"/>
                <w:b/>
                <w:bCs/>
                <w:color w:val="0000FF"/>
                <w:sz w:val="24"/>
                <w:szCs w:val="24"/>
                <w:highlight w:val="none"/>
              </w:rPr>
            </w:pPr>
            <w:bookmarkStart w:id="0" w:name="bt其他资料2"/>
            <w:bookmarkEnd w:id="0"/>
            <w:bookmarkStart w:id="1" w:name="bt投标文件签署授权委托书"/>
            <w:bookmarkEnd w:id="1"/>
            <w:bookmarkStart w:id="2" w:name="bt合同条款"/>
            <w:bookmarkEnd w:id="2"/>
            <w:bookmarkStart w:id="3" w:name="bt投标函"/>
            <w:bookmarkEnd w:id="3"/>
            <w:bookmarkStart w:id="4" w:name="bt投标报价汇总表"/>
            <w:bookmarkEnd w:id="4"/>
            <w:bookmarkStart w:id="5" w:name="bt其他资料由投标人自定"/>
            <w:bookmarkEnd w:id="5"/>
            <w:bookmarkStart w:id="6" w:name="bt开标一览表"/>
            <w:bookmarkEnd w:id="6"/>
            <w:bookmarkStart w:id="7" w:name="bt投标人情况介绍"/>
            <w:bookmarkEnd w:id="7"/>
            <w:bookmarkStart w:id="8" w:name="bt说明"/>
            <w:bookmarkEnd w:id="8"/>
            <w:bookmarkStart w:id="9" w:name="bt商务标投标文件格式"/>
            <w:bookmarkEnd w:id="9"/>
            <w:bookmarkStart w:id="10" w:name="bt合同条款及格式"/>
            <w:bookmarkEnd w:id="10"/>
            <w:bookmarkStart w:id="11" w:name="合同格式"/>
            <w:bookmarkEnd w:id="11"/>
            <w:bookmarkStart w:id="12" w:name="bt本工程承诺书"/>
            <w:bookmarkEnd w:id="12"/>
            <w:bookmarkStart w:id="13" w:name="bt技术标投标文件格式"/>
            <w:bookmarkEnd w:id="13"/>
            <w:bookmarkStart w:id="14" w:name="bt投标人须知"/>
            <w:bookmarkEnd w:id="14"/>
            <w:bookmarkStart w:id="15" w:name="bt项目管理班子配备情况"/>
            <w:bookmarkEnd w:id="15"/>
            <w:bookmarkStart w:id="16" w:name="bt合同格式"/>
            <w:bookmarkEnd w:id="16"/>
          </w:p>
        </w:tc>
        <w:tc>
          <w:tcPr>
            <w:tcW w:w="733" w:type="dxa"/>
            <w:gridSpan w:val="2"/>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99F90F4">
            <w:pPr>
              <w:wordWrap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37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42A1346">
            <w:pPr>
              <w:wordWrap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评分因素</w:t>
            </w:r>
          </w:p>
        </w:tc>
        <w:tc>
          <w:tcPr>
            <w:tcW w:w="77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B82D865">
            <w:pPr>
              <w:wordWrap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权重(%)</w:t>
            </w:r>
          </w:p>
        </w:tc>
        <w:tc>
          <w:tcPr>
            <w:tcW w:w="5744" w:type="dxa"/>
            <w:gridSpan w:val="2"/>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7801EA2E">
            <w:pPr>
              <w:wordWrap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评分准则</w:t>
            </w:r>
          </w:p>
        </w:tc>
      </w:tr>
      <w:tr w14:paraId="389574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 w:type="dxa"/>
          <w:trHeight w:val="2041" w:hRule="atLeast"/>
          <w:tblCellSpacing w:w="0" w:type="dxa"/>
          <w:jc w:val="center"/>
        </w:trPr>
        <w:tc>
          <w:tcPr>
            <w:tcW w:w="508" w:type="dxa"/>
            <w:gridSpan w:val="3"/>
            <w:vMerge w:val="continue"/>
            <w:tcBorders>
              <w:top w:val="single" w:color="000000" w:sz="8" w:space="0"/>
              <w:left w:val="single" w:color="000000" w:sz="8" w:space="0"/>
              <w:bottom w:val="single" w:color="000000" w:sz="8" w:space="0"/>
              <w:right w:val="single" w:color="000000" w:sz="8" w:space="0"/>
            </w:tcBorders>
            <w:noWrap w:val="0"/>
            <w:vAlign w:val="center"/>
          </w:tcPr>
          <w:p w14:paraId="58DC35E4">
            <w:pPr>
              <w:rPr>
                <w:rFonts w:hint="eastAsia" w:ascii="宋体" w:hAnsi="宋体" w:eastAsia="宋体" w:cs="宋体"/>
                <w:b/>
                <w:bCs/>
                <w:color w:val="0000FF"/>
                <w:sz w:val="24"/>
                <w:szCs w:val="24"/>
                <w:highlight w:val="none"/>
              </w:rPr>
            </w:pPr>
          </w:p>
        </w:tc>
        <w:tc>
          <w:tcPr>
            <w:tcW w:w="733" w:type="dxa"/>
            <w:gridSpan w:val="2"/>
            <w:tcBorders>
              <w:top w:val="single" w:color="000000" w:sz="8" w:space="0"/>
              <w:left w:val="single" w:color="000000" w:sz="8" w:space="0"/>
              <w:bottom w:val="single" w:color="000000" w:sz="8" w:space="0"/>
              <w:right w:val="single" w:color="000000" w:sz="8" w:space="0"/>
            </w:tcBorders>
            <w:noWrap w:val="0"/>
            <w:vAlign w:val="center"/>
          </w:tcPr>
          <w:p w14:paraId="20747ACC">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371" w:type="dxa"/>
            <w:tcBorders>
              <w:top w:val="single" w:color="000000" w:sz="8" w:space="0"/>
              <w:left w:val="single" w:color="000000" w:sz="8" w:space="0"/>
              <w:bottom w:val="single" w:color="000000" w:sz="8" w:space="0"/>
              <w:right w:val="single" w:color="000000" w:sz="8" w:space="0"/>
            </w:tcBorders>
            <w:noWrap w:val="0"/>
            <w:vAlign w:val="center"/>
          </w:tcPr>
          <w:p w14:paraId="5487E1C0">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技术服务方案</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14:paraId="7F5702C5">
            <w:pPr>
              <w:keepNext w:val="0"/>
              <w:keepLines w:val="0"/>
              <w:pageBreakBefore w:val="0"/>
              <w:kinsoku/>
              <w:wordWrap w:val="0"/>
              <w:overflowPunct/>
              <w:topLinePunct w:val="0"/>
              <w:autoSpaceDE/>
              <w:autoSpaceDN/>
              <w:bidi w:val="0"/>
              <w:adjustRightInd/>
              <w:snapToGrid/>
              <w:spacing w:line="4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5744" w:type="dxa"/>
            <w:gridSpan w:val="2"/>
            <w:tcBorders>
              <w:top w:val="single" w:color="000000" w:sz="8" w:space="0"/>
              <w:left w:val="single" w:color="000000" w:sz="8" w:space="0"/>
              <w:bottom w:val="single" w:color="000000" w:sz="8" w:space="0"/>
              <w:right w:val="single" w:color="000000" w:sz="8" w:space="0"/>
            </w:tcBorders>
            <w:noWrap w:val="0"/>
            <w:vAlign w:val="center"/>
          </w:tcPr>
          <w:p w14:paraId="2E509EAF">
            <w:pPr>
              <w:spacing w:line="240" w:lineRule="auto"/>
              <w:rPr>
                <w:rFonts w:ascii="宋体" w:hAnsi="宋体" w:cs="宋体"/>
                <w:b/>
                <w:color w:val="000000"/>
                <w:sz w:val="24"/>
                <w:szCs w:val="24"/>
                <w:highlight w:val="none"/>
              </w:rPr>
            </w:pPr>
            <w:r>
              <w:rPr>
                <w:rFonts w:hint="eastAsia" w:ascii="宋体" w:hAnsi="宋体" w:cs="宋体"/>
                <w:b/>
                <w:color w:val="000000"/>
                <w:sz w:val="24"/>
                <w:szCs w:val="24"/>
                <w:highlight w:val="none"/>
              </w:rPr>
              <w:t>（一）评分内容：</w:t>
            </w:r>
          </w:p>
          <w:p w14:paraId="3987C209">
            <w:pPr>
              <w:spacing w:line="24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根据投标人提供的技术服务方案进行评审，</w:t>
            </w:r>
            <w:r>
              <w:rPr>
                <w:rFonts w:hint="eastAsia" w:ascii="宋体" w:hAnsi="宋体" w:cs="宋体"/>
                <w:bCs/>
                <w:color w:val="000000"/>
                <w:sz w:val="24"/>
                <w:szCs w:val="24"/>
                <w:highlight w:val="none"/>
              </w:rPr>
              <w:t>包括但不限于以下内容</w:t>
            </w:r>
            <w:r>
              <w:rPr>
                <w:rFonts w:hint="eastAsia" w:ascii="宋体" w:hAnsi="宋体" w:cs="宋体"/>
                <w:color w:val="000000"/>
                <w:sz w:val="24"/>
                <w:szCs w:val="24"/>
                <w:highlight w:val="none"/>
              </w:rPr>
              <w:t>：</w:t>
            </w:r>
          </w:p>
          <w:p w14:paraId="0FF9B549">
            <w:pPr>
              <w:spacing w:line="240" w:lineRule="auto"/>
              <w:rPr>
                <w:rFonts w:ascii="宋体" w:hAnsi="宋体" w:cs="宋体"/>
                <w:color w:val="000000"/>
                <w:sz w:val="24"/>
                <w:szCs w:val="24"/>
                <w:highlight w:val="none"/>
              </w:rPr>
            </w:pPr>
            <w:r>
              <w:rPr>
                <w:rFonts w:hint="eastAsia" w:ascii="宋体" w:hAnsi="宋体" w:cs="宋体"/>
                <w:color w:val="000000"/>
                <w:sz w:val="24"/>
                <w:szCs w:val="24"/>
                <w:highlight w:val="none"/>
              </w:rPr>
              <w:t>1.投标人对项目背景和现状进行分析，阐述实现项目目标的具体实施思路；</w:t>
            </w:r>
          </w:p>
          <w:p w14:paraId="08E97E71">
            <w:pPr>
              <w:pStyle w:val="21"/>
              <w:spacing w:line="240" w:lineRule="auto"/>
              <w:rPr>
                <w:rFonts w:ascii="宋体" w:hAnsi="宋体" w:cs="宋体"/>
                <w:color w:val="000000"/>
                <w:sz w:val="24"/>
                <w:szCs w:val="24"/>
                <w:highlight w:val="none"/>
              </w:rPr>
            </w:pPr>
            <w:r>
              <w:rPr>
                <w:rFonts w:hint="eastAsia"/>
                <w:color w:val="000000"/>
                <w:sz w:val="24"/>
                <w:szCs w:val="24"/>
                <w:highlight w:val="none"/>
              </w:rPr>
              <w:t>2</w:t>
            </w:r>
            <w:r>
              <w:rPr>
                <w:color w:val="000000"/>
                <w:sz w:val="24"/>
                <w:szCs w:val="24"/>
                <w:highlight w:val="none"/>
              </w:rPr>
              <w:t>.</w:t>
            </w:r>
            <w:r>
              <w:rPr>
                <w:rFonts w:hint="eastAsia" w:ascii="宋体" w:hAnsi="宋体" w:cs="宋体"/>
                <w:color w:val="000000"/>
                <w:sz w:val="24"/>
                <w:szCs w:val="24"/>
                <w:highlight w:val="none"/>
              </w:rPr>
              <w:t>项目重点、难点及关键技术点分析</w:t>
            </w:r>
          </w:p>
          <w:p w14:paraId="1DA3F30A">
            <w:pPr>
              <w:spacing w:line="240" w:lineRule="auto"/>
              <w:ind w:left="-78" w:leftChars="-37" w:right="-73" w:rightChars="-35"/>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（二）评审标准：</w:t>
            </w:r>
          </w:p>
          <w:p w14:paraId="51864FFB">
            <w:pPr>
              <w:spacing w:line="240" w:lineRule="auto"/>
              <w:ind w:left="-78" w:leftChars="-37" w:right="-73" w:rightChars="-35" w:firstLine="480" w:firstLineChars="200"/>
              <w:jc w:val="left"/>
              <w:rPr>
                <w:rFonts w:ascii="宋体" w:hAnsi="宋体" w:cs="宋体"/>
                <w:color w:val="000000"/>
                <w:sz w:val="24"/>
                <w:szCs w:val="24"/>
                <w:highlight w:val="none"/>
              </w:rPr>
            </w:pPr>
            <w:r>
              <w:rPr>
                <w:rFonts w:hint="eastAsia" w:ascii="宋体" w:hAnsi="宋体" w:cs="宋体"/>
                <w:bCs/>
                <w:color w:val="000000"/>
                <w:kern w:val="0"/>
                <w:sz w:val="24"/>
                <w:szCs w:val="24"/>
                <w:highlight w:val="none"/>
              </w:rPr>
              <w:t>提供的方案同时包含以上</w:t>
            </w:r>
            <w:r>
              <w:rPr>
                <w:rFonts w:ascii="宋体" w:hAnsi="宋体" w:cs="宋体"/>
                <w:bCs/>
                <w:color w:val="000000"/>
                <w:kern w:val="0"/>
                <w:sz w:val="24"/>
                <w:szCs w:val="24"/>
                <w:highlight w:val="none"/>
              </w:rPr>
              <w:t>2</w:t>
            </w:r>
            <w:r>
              <w:rPr>
                <w:rFonts w:hint="eastAsia" w:ascii="宋体" w:hAnsi="宋体" w:cs="宋体"/>
                <w:bCs/>
                <w:color w:val="000000"/>
                <w:kern w:val="0"/>
                <w:sz w:val="24"/>
                <w:szCs w:val="24"/>
                <w:highlight w:val="none"/>
              </w:rPr>
              <w:t>点内容的得</w:t>
            </w:r>
            <w:r>
              <w:rPr>
                <w:rFonts w:hint="eastAsia" w:ascii="宋体" w:hAnsi="宋体" w:cs="宋体"/>
                <w:bCs/>
                <w:color w:val="000000"/>
                <w:kern w:val="0"/>
                <w:sz w:val="24"/>
                <w:szCs w:val="24"/>
                <w:highlight w:val="none"/>
                <w:lang w:val="en-US" w:eastAsia="zh-CN"/>
              </w:rPr>
              <w:t>10</w:t>
            </w:r>
            <w:r>
              <w:rPr>
                <w:rFonts w:hint="eastAsia" w:ascii="宋体" w:hAnsi="宋体" w:cs="宋体"/>
                <w:bCs/>
                <w:color w:val="000000"/>
                <w:kern w:val="0"/>
                <w:sz w:val="24"/>
                <w:szCs w:val="24"/>
                <w:highlight w:val="none"/>
              </w:rPr>
              <w:t>分，</w:t>
            </w:r>
            <w:r>
              <w:rPr>
                <w:rFonts w:hint="eastAsia" w:ascii="宋体" w:hAnsi="宋体" w:cs="宋体"/>
                <w:color w:val="000000"/>
                <w:sz w:val="24"/>
                <w:szCs w:val="24"/>
                <w:highlight w:val="none"/>
              </w:rPr>
              <w:t>包含上述</w:t>
            </w:r>
            <w:r>
              <w:rPr>
                <w:rFonts w:ascii="宋体" w:hAnsi="宋体" w:cs="宋体"/>
                <w:color w:val="000000"/>
                <w:sz w:val="24"/>
                <w:szCs w:val="24"/>
                <w:highlight w:val="none"/>
              </w:rPr>
              <w:t>1</w:t>
            </w:r>
            <w:r>
              <w:rPr>
                <w:rFonts w:hint="eastAsia" w:ascii="宋体" w:hAnsi="宋体" w:cs="宋体"/>
                <w:color w:val="000000"/>
                <w:sz w:val="24"/>
                <w:szCs w:val="24"/>
                <w:highlight w:val="none"/>
              </w:rPr>
              <w:t>项内容的，得</w:t>
            </w:r>
            <w:r>
              <w:rPr>
                <w:rFonts w:ascii="宋体" w:hAnsi="宋体" w:cs="宋体"/>
                <w:color w:val="000000"/>
                <w:sz w:val="24"/>
                <w:szCs w:val="24"/>
                <w:highlight w:val="none"/>
              </w:rPr>
              <w:t>5</w:t>
            </w:r>
            <w:r>
              <w:rPr>
                <w:rFonts w:hint="eastAsia" w:ascii="宋体" w:hAnsi="宋体" w:cs="宋体"/>
                <w:color w:val="000000"/>
                <w:sz w:val="24"/>
                <w:szCs w:val="24"/>
                <w:highlight w:val="none"/>
              </w:rPr>
              <w:t>分，其他情况不得分。</w:t>
            </w:r>
          </w:p>
          <w:p w14:paraId="7F2549C4">
            <w:pPr>
              <w:spacing w:after="78" w:afterLines="25" w:line="240" w:lineRule="auto"/>
              <w:ind w:firstLine="480" w:firstLineChars="200"/>
              <w:jc w:val="left"/>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在此基础上，根据各供应商的具体响应内容按照量化的评审因素指标进一步评审：</w:t>
            </w:r>
          </w:p>
          <w:p w14:paraId="6C80F61A">
            <w:pPr>
              <w:spacing w:line="240" w:lineRule="auto"/>
              <w:ind w:left="-78" w:leftChars="-37" w:right="-73" w:rightChars="-35"/>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①技术服务方案内容全面； </w:t>
            </w:r>
          </w:p>
          <w:p w14:paraId="07C47C74">
            <w:pPr>
              <w:spacing w:line="240" w:lineRule="auto"/>
              <w:ind w:left="-78" w:leftChars="-37" w:right="-73" w:rightChars="-35"/>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②技术服务方案内容具体； </w:t>
            </w:r>
          </w:p>
          <w:p w14:paraId="08D26062">
            <w:pPr>
              <w:spacing w:line="240" w:lineRule="auto"/>
              <w:ind w:left="-78" w:leftChars="-37" w:right="-73" w:rightChars="-35"/>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③技术服务方案内容科学合理； </w:t>
            </w:r>
          </w:p>
          <w:p w14:paraId="7FD24D6E">
            <w:pPr>
              <w:spacing w:line="240" w:lineRule="auto"/>
              <w:ind w:left="-78" w:leftChars="-37" w:right="-73" w:rightChars="-35"/>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④技术服务方案内容针对性强； </w:t>
            </w:r>
          </w:p>
          <w:p w14:paraId="3C47737A">
            <w:pPr>
              <w:spacing w:line="240" w:lineRule="auto"/>
              <w:ind w:left="-78" w:leftChars="-37" w:right="-73" w:rightChars="-35"/>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⑤技术服务方案内容可操作性强。</w:t>
            </w:r>
          </w:p>
          <w:p w14:paraId="2F443C63">
            <w:pPr>
              <w:spacing w:line="240" w:lineRule="auto"/>
              <w:ind w:right="-73" w:rightChars="-35"/>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满足以上5项的评价为优，加10分；</w:t>
            </w:r>
          </w:p>
          <w:p w14:paraId="114B862B">
            <w:pPr>
              <w:spacing w:line="240" w:lineRule="auto"/>
              <w:ind w:right="-73" w:rightChars="-35"/>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满足以上4项的评价为良，加7分；</w:t>
            </w:r>
          </w:p>
          <w:p w14:paraId="45D132C9">
            <w:pPr>
              <w:spacing w:line="240" w:lineRule="auto"/>
              <w:ind w:right="-73" w:rightChars="-35"/>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满足以上3项的评价为中，加4分；</w:t>
            </w:r>
          </w:p>
          <w:p w14:paraId="2DAC08AA">
            <w:pPr>
              <w:spacing w:line="240" w:lineRule="auto"/>
              <w:ind w:right="-73" w:rightChars="-35"/>
              <w:jc w:val="left"/>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其他情况</w:t>
            </w:r>
            <w:r>
              <w:rPr>
                <w:rFonts w:hint="eastAsia" w:ascii="宋体" w:hAnsi="宋体" w:cs="宋体"/>
                <w:color w:val="000000"/>
                <w:sz w:val="24"/>
                <w:szCs w:val="24"/>
                <w:highlight w:val="none"/>
              </w:rPr>
              <w:t>评价为差</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不</w:t>
            </w:r>
            <w:r>
              <w:rPr>
                <w:rFonts w:hint="eastAsia" w:ascii="宋体" w:hAnsi="宋体" w:cs="宋体"/>
                <w:color w:val="000000"/>
                <w:sz w:val="24"/>
                <w:szCs w:val="24"/>
                <w:highlight w:val="none"/>
                <w:lang w:val="en-US" w:eastAsia="zh-CN"/>
              </w:rPr>
              <w:t>加</w:t>
            </w:r>
            <w:r>
              <w:rPr>
                <w:rFonts w:hint="eastAsia" w:ascii="宋体" w:hAnsi="宋体" w:cs="宋体"/>
                <w:color w:val="000000"/>
                <w:sz w:val="24"/>
                <w:szCs w:val="24"/>
                <w:highlight w:val="none"/>
              </w:rPr>
              <w:t>分；</w:t>
            </w:r>
          </w:p>
          <w:p w14:paraId="45EEDE2C">
            <w:pPr>
              <w:spacing w:line="240" w:lineRule="auto"/>
              <w:ind w:right="-73" w:rightChars="-35"/>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000000"/>
                <w:sz w:val="24"/>
                <w:szCs w:val="24"/>
                <w:highlight w:val="none"/>
              </w:rPr>
              <w:t>此项最高累计得</w:t>
            </w: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分，不提供不得分。</w:t>
            </w:r>
          </w:p>
        </w:tc>
      </w:tr>
      <w:tr w14:paraId="6F4987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 w:type="dxa"/>
          <w:trHeight w:val="550" w:hRule="atLeast"/>
          <w:tblCellSpacing w:w="0" w:type="dxa"/>
          <w:jc w:val="center"/>
        </w:trPr>
        <w:tc>
          <w:tcPr>
            <w:tcW w:w="508" w:type="dxa"/>
            <w:gridSpan w:val="3"/>
            <w:vMerge w:val="continue"/>
            <w:tcBorders>
              <w:top w:val="single" w:color="000000" w:sz="8" w:space="0"/>
              <w:left w:val="single" w:color="000000" w:sz="8" w:space="0"/>
              <w:bottom w:val="single" w:color="000000" w:sz="8" w:space="0"/>
              <w:right w:val="single" w:color="000000" w:sz="8" w:space="0"/>
            </w:tcBorders>
            <w:noWrap w:val="0"/>
            <w:vAlign w:val="center"/>
          </w:tcPr>
          <w:p w14:paraId="31467210">
            <w:pPr>
              <w:rPr>
                <w:rFonts w:hint="eastAsia" w:ascii="宋体" w:hAnsi="宋体" w:eastAsia="宋体" w:cs="宋体"/>
                <w:b/>
                <w:bCs/>
                <w:color w:val="0000FF"/>
                <w:sz w:val="24"/>
                <w:szCs w:val="24"/>
                <w:highlight w:val="none"/>
              </w:rPr>
            </w:pPr>
          </w:p>
        </w:tc>
        <w:tc>
          <w:tcPr>
            <w:tcW w:w="733" w:type="dxa"/>
            <w:gridSpan w:val="2"/>
            <w:tcBorders>
              <w:top w:val="single" w:color="000000" w:sz="8" w:space="0"/>
              <w:left w:val="single" w:color="000000" w:sz="8" w:space="0"/>
              <w:bottom w:val="single" w:color="000000" w:sz="8" w:space="0"/>
              <w:right w:val="single" w:color="000000" w:sz="8" w:space="0"/>
            </w:tcBorders>
            <w:noWrap w:val="0"/>
            <w:vAlign w:val="center"/>
          </w:tcPr>
          <w:p w14:paraId="034BBBE7">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371" w:type="dxa"/>
            <w:tcBorders>
              <w:top w:val="single" w:color="000000" w:sz="8" w:space="0"/>
              <w:left w:val="single" w:color="000000" w:sz="8" w:space="0"/>
              <w:bottom w:val="single" w:color="000000" w:sz="8" w:space="0"/>
              <w:right w:val="single" w:color="000000" w:sz="8" w:space="0"/>
            </w:tcBorders>
            <w:noWrap w:val="0"/>
            <w:vAlign w:val="center"/>
          </w:tcPr>
          <w:p w14:paraId="0E275EEF">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项目质量管理及保证措施</w:t>
            </w:r>
          </w:p>
        </w:tc>
        <w:tc>
          <w:tcPr>
            <w:tcW w:w="774" w:type="dxa"/>
            <w:tcBorders>
              <w:top w:val="single" w:color="000000" w:sz="8" w:space="0"/>
              <w:left w:val="single" w:color="000000" w:sz="8" w:space="0"/>
              <w:bottom w:val="single" w:color="000000" w:sz="8" w:space="0"/>
              <w:right w:val="single" w:color="000000" w:sz="8" w:space="0"/>
            </w:tcBorders>
            <w:noWrap w:val="0"/>
            <w:vAlign w:val="center"/>
          </w:tcPr>
          <w:p w14:paraId="345F4287">
            <w:pPr>
              <w:keepNext w:val="0"/>
              <w:keepLines w:val="0"/>
              <w:pageBreakBefore w:val="0"/>
              <w:kinsoku/>
              <w:wordWrap w:val="0"/>
              <w:overflowPunct/>
              <w:topLinePunct w:val="0"/>
              <w:autoSpaceDE/>
              <w:autoSpaceDN/>
              <w:bidi w:val="0"/>
              <w:adjustRightInd/>
              <w:snapToGrid/>
              <w:spacing w:line="4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p>
        </w:tc>
        <w:tc>
          <w:tcPr>
            <w:tcW w:w="5744" w:type="dxa"/>
            <w:gridSpan w:val="2"/>
            <w:tcBorders>
              <w:top w:val="single" w:color="000000" w:sz="8" w:space="0"/>
              <w:left w:val="single" w:color="000000" w:sz="8" w:space="0"/>
              <w:bottom w:val="single" w:color="000000" w:sz="8" w:space="0"/>
              <w:right w:val="single" w:color="000000" w:sz="8" w:space="0"/>
            </w:tcBorders>
            <w:noWrap w:val="0"/>
            <w:vAlign w:val="center"/>
          </w:tcPr>
          <w:p w14:paraId="2156A988">
            <w:pPr>
              <w:spacing w:after="60" w:line="240" w:lineRule="auto"/>
              <w:rPr>
                <w:rFonts w:ascii="宋体" w:hAnsi="宋体" w:cs="宋体"/>
                <w:b/>
                <w:color w:val="000000"/>
                <w:sz w:val="24"/>
                <w:szCs w:val="24"/>
                <w:highlight w:val="none"/>
              </w:rPr>
            </w:pPr>
            <w:r>
              <w:rPr>
                <w:rFonts w:hint="eastAsia" w:ascii="宋体" w:hAnsi="宋体" w:cs="宋体"/>
                <w:b/>
                <w:color w:val="000000"/>
                <w:sz w:val="24"/>
                <w:szCs w:val="24"/>
                <w:highlight w:val="none"/>
              </w:rPr>
              <w:t>（一）评分内容：</w:t>
            </w:r>
          </w:p>
          <w:p w14:paraId="1F8E17CB">
            <w:pPr>
              <w:spacing w:line="24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sz w:val="24"/>
                <w:szCs w:val="24"/>
                <w:highlight w:val="none"/>
              </w:rPr>
              <w:t>根据投标人提供的</w:t>
            </w:r>
            <w:r>
              <w:rPr>
                <w:rFonts w:hint="eastAsia" w:ascii="宋体" w:hAnsi="宋体" w:cs="宋体"/>
                <w:color w:val="000000"/>
                <w:kern w:val="0"/>
                <w:sz w:val="24"/>
                <w:szCs w:val="24"/>
                <w:highlight w:val="none"/>
              </w:rPr>
              <w:t>项目质量管理及保证措施进行评审，包括但不限于以下内容：</w:t>
            </w:r>
          </w:p>
          <w:p w14:paraId="57A6A0A5">
            <w:pPr>
              <w:spacing w:line="240" w:lineRule="auto"/>
              <w:jc w:val="left"/>
              <w:rPr>
                <w:rFonts w:hint="eastAsia" w:ascii="宋体" w:hAnsi="宋体" w:eastAsia="宋体" w:cs="宋体"/>
                <w:color w:val="000000"/>
                <w:kern w:val="0"/>
                <w:sz w:val="24"/>
                <w:szCs w:val="24"/>
                <w:highlight w:val="none"/>
              </w:rPr>
            </w:pPr>
            <w:r>
              <w:rPr>
                <w:rFonts w:hint="eastAsia" w:ascii="宋体" w:hAnsi="宋体" w:cs="宋体"/>
                <w:color w:val="000000"/>
                <w:sz w:val="24"/>
                <w:szCs w:val="24"/>
                <w:highlight w:val="none"/>
              </w:rPr>
              <w:t>1.质</w:t>
            </w:r>
            <w:r>
              <w:rPr>
                <w:rFonts w:hint="eastAsia" w:ascii="宋体" w:hAnsi="宋体" w:eastAsia="宋体" w:cs="宋体"/>
                <w:color w:val="000000"/>
                <w:kern w:val="0"/>
                <w:sz w:val="24"/>
                <w:szCs w:val="24"/>
                <w:highlight w:val="none"/>
              </w:rPr>
              <w:t>量管理措施；</w:t>
            </w:r>
          </w:p>
          <w:p w14:paraId="427AB4BD">
            <w:pPr>
              <w:spacing w:line="240" w:lineRule="auto"/>
              <w:jc w:val="left"/>
              <w:rPr>
                <w:rFonts w:hint="eastAsia" w:eastAsia="宋体"/>
                <w:color w:val="000000"/>
                <w:sz w:val="24"/>
                <w:szCs w:val="24"/>
                <w:highlight w:val="none"/>
                <w:lang w:eastAsia="zh-CN"/>
              </w:rPr>
            </w:pPr>
            <w:r>
              <w:rPr>
                <w:rFonts w:hint="eastAsia" w:ascii="宋体" w:hAnsi="宋体" w:eastAsia="宋体" w:cs="宋体"/>
                <w:color w:val="000000"/>
                <w:kern w:val="0"/>
                <w:sz w:val="24"/>
                <w:szCs w:val="24"/>
                <w:highlight w:val="none"/>
              </w:rPr>
              <w:t>2.质</w:t>
            </w:r>
            <w:r>
              <w:rPr>
                <w:rFonts w:hint="eastAsia"/>
                <w:color w:val="000000"/>
                <w:sz w:val="24"/>
                <w:szCs w:val="24"/>
                <w:highlight w:val="none"/>
              </w:rPr>
              <w:t>量保证措施</w:t>
            </w:r>
            <w:r>
              <w:rPr>
                <w:rFonts w:hint="eastAsia"/>
                <w:color w:val="000000"/>
                <w:sz w:val="24"/>
                <w:szCs w:val="24"/>
                <w:highlight w:val="none"/>
                <w:lang w:eastAsia="zh-CN"/>
              </w:rPr>
              <w:t>。</w:t>
            </w:r>
          </w:p>
          <w:p w14:paraId="71EC9889">
            <w:pPr>
              <w:spacing w:line="240" w:lineRule="auto"/>
              <w:ind w:left="-78" w:leftChars="-37" w:right="-73" w:rightChars="-35"/>
              <w:jc w:val="left"/>
              <w:rPr>
                <w:rFonts w:ascii="宋体" w:hAnsi="宋体" w:cs="宋体"/>
                <w:b/>
                <w:bCs/>
                <w:color w:val="000000"/>
                <w:kern w:val="0"/>
                <w:sz w:val="24"/>
                <w:szCs w:val="24"/>
                <w:highlight w:val="none"/>
              </w:rPr>
            </w:pPr>
            <w:r>
              <w:rPr>
                <w:rFonts w:hint="eastAsia" w:ascii="宋体" w:hAnsi="宋体" w:cs="宋体"/>
                <w:b/>
                <w:bCs/>
                <w:color w:val="000000"/>
                <w:kern w:val="0"/>
                <w:sz w:val="24"/>
                <w:szCs w:val="24"/>
                <w:highlight w:val="none"/>
              </w:rPr>
              <w:t>（二）评审标准：</w:t>
            </w:r>
          </w:p>
          <w:p w14:paraId="2777D235">
            <w:pPr>
              <w:spacing w:line="240" w:lineRule="auto"/>
              <w:ind w:left="-78" w:leftChars="-37" w:right="-73" w:rightChars="-35" w:firstLine="480" w:firstLineChars="200"/>
              <w:jc w:val="left"/>
              <w:rPr>
                <w:rFonts w:ascii="宋体" w:hAnsi="宋体" w:cs="宋体"/>
                <w:color w:val="000000"/>
                <w:sz w:val="24"/>
                <w:szCs w:val="24"/>
                <w:highlight w:val="none"/>
              </w:rPr>
            </w:pPr>
            <w:r>
              <w:rPr>
                <w:rFonts w:hint="eastAsia" w:ascii="宋体" w:hAnsi="宋体" w:cs="宋体"/>
                <w:bCs/>
                <w:color w:val="000000"/>
                <w:kern w:val="0"/>
                <w:sz w:val="24"/>
                <w:szCs w:val="24"/>
                <w:highlight w:val="none"/>
              </w:rPr>
              <w:t>提供的方案同时包含以上</w:t>
            </w:r>
            <w:r>
              <w:rPr>
                <w:rFonts w:ascii="宋体" w:hAnsi="宋体" w:cs="宋体"/>
                <w:bCs/>
                <w:color w:val="000000"/>
                <w:kern w:val="0"/>
                <w:sz w:val="24"/>
                <w:szCs w:val="24"/>
                <w:highlight w:val="none"/>
              </w:rPr>
              <w:t>2</w:t>
            </w:r>
            <w:r>
              <w:rPr>
                <w:rFonts w:hint="eastAsia" w:ascii="宋体" w:hAnsi="宋体" w:cs="宋体"/>
                <w:bCs/>
                <w:color w:val="000000"/>
                <w:kern w:val="0"/>
                <w:sz w:val="24"/>
                <w:szCs w:val="24"/>
                <w:highlight w:val="none"/>
              </w:rPr>
              <w:t>点内容的得</w:t>
            </w:r>
            <w:r>
              <w:rPr>
                <w:rFonts w:hint="eastAsia" w:ascii="宋体" w:hAnsi="宋体" w:cs="宋体"/>
                <w:bCs/>
                <w:color w:val="000000"/>
                <w:kern w:val="0"/>
                <w:sz w:val="24"/>
                <w:szCs w:val="24"/>
                <w:highlight w:val="none"/>
                <w:lang w:val="en-US" w:eastAsia="zh-CN"/>
              </w:rPr>
              <w:t>10</w:t>
            </w:r>
            <w:r>
              <w:rPr>
                <w:rFonts w:hint="eastAsia" w:ascii="宋体" w:hAnsi="宋体" w:cs="宋体"/>
                <w:bCs/>
                <w:color w:val="000000"/>
                <w:kern w:val="0"/>
                <w:sz w:val="24"/>
                <w:szCs w:val="24"/>
                <w:highlight w:val="none"/>
              </w:rPr>
              <w:t>分，</w:t>
            </w:r>
            <w:r>
              <w:rPr>
                <w:rFonts w:hint="eastAsia" w:ascii="宋体" w:hAnsi="宋体" w:cs="宋体"/>
                <w:color w:val="000000"/>
                <w:sz w:val="24"/>
                <w:szCs w:val="24"/>
                <w:highlight w:val="none"/>
              </w:rPr>
              <w:t>包含上述</w:t>
            </w:r>
            <w:r>
              <w:rPr>
                <w:rFonts w:ascii="宋体" w:hAnsi="宋体" w:cs="宋体"/>
                <w:color w:val="000000"/>
                <w:sz w:val="24"/>
                <w:szCs w:val="24"/>
                <w:highlight w:val="none"/>
              </w:rPr>
              <w:t>1</w:t>
            </w:r>
            <w:r>
              <w:rPr>
                <w:rFonts w:hint="eastAsia" w:ascii="宋体" w:hAnsi="宋体" w:cs="宋体"/>
                <w:color w:val="000000"/>
                <w:sz w:val="24"/>
                <w:szCs w:val="24"/>
                <w:highlight w:val="none"/>
              </w:rPr>
              <w:t>项内容的，得</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分，其他情况不得分。</w:t>
            </w:r>
          </w:p>
          <w:p w14:paraId="6D7A64FD">
            <w:pPr>
              <w:spacing w:after="78" w:afterLines="25" w:line="240" w:lineRule="auto"/>
              <w:ind w:firstLine="480" w:firstLineChars="200"/>
              <w:jc w:val="left"/>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在此基础上，根据各供应商的具体响应内容按照量化的评审因素指标进一步评审：</w:t>
            </w:r>
          </w:p>
          <w:p w14:paraId="72DC98F7">
            <w:pPr>
              <w:spacing w:line="24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①项目质量管理及保证措施内容全面； </w:t>
            </w:r>
          </w:p>
          <w:p w14:paraId="01E72726">
            <w:pPr>
              <w:spacing w:line="24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②项目质量管理及保证措施内容具体； </w:t>
            </w:r>
          </w:p>
          <w:p w14:paraId="5314227E">
            <w:pPr>
              <w:spacing w:line="24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③项目质量管理及保证措施科学合理； </w:t>
            </w:r>
          </w:p>
          <w:p w14:paraId="7A6123EE">
            <w:pPr>
              <w:spacing w:line="24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④项目质量管理及保证措施针对性强； </w:t>
            </w:r>
          </w:p>
          <w:p w14:paraId="09734840">
            <w:pPr>
              <w:spacing w:line="24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⑤项目质量管理及保证措施可操作性强。</w:t>
            </w:r>
          </w:p>
          <w:p w14:paraId="357344F1">
            <w:pPr>
              <w:spacing w:line="24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满足以上5项的评价为优，加10分；</w:t>
            </w:r>
          </w:p>
          <w:p w14:paraId="677E495E">
            <w:pPr>
              <w:spacing w:line="24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满足以上4项的评价为良，加7分；</w:t>
            </w:r>
          </w:p>
          <w:p w14:paraId="669F2B4F">
            <w:pPr>
              <w:spacing w:line="24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满足以上3项的评价为中，加4分；</w:t>
            </w:r>
          </w:p>
          <w:p w14:paraId="409B560A">
            <w:pPr>
              <w:spacing w:line="24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其他情况</w:t>
            </w:r>
            <w:r>
              <w:rPr>
                <w:rFonts w:hint="eastAsia" w:ascii="宋体" w:hAnsi="宋体" w:cs="宋体"/>
                <w:color w:val="000000"/>
                <w:sz w:val="24"/>
                <w:szCs w:val="24"/>
                <w:highlight w:val="none"/>
              </w:rPr>
              <w:t>评价为差</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不</w:t>
            </w:r>
            <w:r>
              <w:rPr>
                <w:rFonts w:hint="eastAsia" w:ascii="宋体" w:hAnsi="宋体" w:cs="宋体"/>
                <w:color w:val="000000"/>
                <w:sz w:val="24"/>
                <w:szCs w:val="24"/>
                <w:highlight w:val="none"/>
                <w:lang w:val="en-US" w:eastAsia="zh-CN"/>
              </w:rPr>
              <w:t>加</w:t>
            </w:r>
            <w:r>
              <w:rPr>
                <w:rFonts w:hint="eastAsia" w:ascii="宋体" w:hAnsi="宋体" w:cs="宋体"/>
                <w:color w:val="000000"/>
                <w:sz w:val="24"/>
                <w:szCs w:val="24"/>
                <w:highlight w:val="none"/>
              </w:rPr>
              <w:t>分；</w:t>
            </w:r>
          </w:p>
          <w:p w14:paraId="35BC5B3D">
            <w:pPr>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000000"/>
                <w:sz w:val="24"/>
                <w:szCs w:val="24"/>
                <w:highlight w:val="none"/>
              </w:rPr>
              <w:t>此项最高累计得15分，不提供不得分</w:t>
            </w:r>
            <w:r>
              <w:rPr>
                <w:rFonts w:hint="eastAsia" w:ascii="宋体" w:hAnsi="宋体" w:cs="宋体"/>
                <w:color w:val="000000"/>
                <w:sz w:val="24"/>
                <w:szCs w:val="24"/>
                <w:highlight w:val="none"/>
                <w:lang w:eastAsia="zh-CN"/>
              </w:rPr>
              <w:t>。</w:t>
            </w:r>
          </w:p>
        </w:tc>
      </w:tr>
      <w:tr w14:paraId="01953B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 w:type="dxa"/>
          <w:tblCellSpacing w:w="0" w:type="dxa"/>
          <w:jc w:val="center"/>
        </w:trPr>
        <w:tc>
          <w:tcPr>
            <w:tcW w:w="508" w:type="dxa"/>
            <w:gridSpan w:val="3"/>
            <w:vMerge w:val="restart"/>
            <w:tcBorders>
              <w:top w:val="single" w:color="000000" w:sz="8" w:space="0"/>
              <w:left w:val="single" w:color="000000" w:sz="8" w:space="0"/>
              <w:right w:val="single" w:color="000000" w:sz="8" w:space="0"/>
            </w:tcBorders>
            <w:noWrap w:val="0"/>
            <w:vAlign w:val="top"/>
          </w:tcPr>
          <w:p w14:paraId="35D768FB">
            <w:pPr>
              <w:wordWrap w:val="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p>
        </w:tc>
        <w:tc>
          <w:tcPr>
            <w:tcW w:w="2878" w:type="dxa"/>
            <w:gridSpan w:val="4"/>
            <w:tcBorders>
              <w:top w:val="single" w:color="000000" w:sz="8" w:space="0"/>
              <w:left w:val="single" w:color="000000" w:sz="8" w:space="0"/>
              <w:bottom w:val="single" w:color="000000" w:sz="8" w:space="0"/>
              <w:right w:val="single" w:color="000000" w:sz="8" w:space="0"/>
            </w:tcBorders>
            <w:noWrap w:val="0"/>
            <w:vAlign w:val="top"/>
          </w:tcPr>
          <w:p w14:paraId="55A6CDB3">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商务</w:t>
            </w:r>
            <w:r>
              <w:rPr>
                <w:rFonts w:hint="eastAsia" w:ascii="宋体" w:hAnsi="宋体" w:eastAsia="宋体" w:cs="宋体"/>
                <w:b/>
                <w:bCs/>
                <w:sz w:val="24"/>
                <w:szCs w:val="24"/>
                <w:highlight w:val="none"/>
              </w:rPr>
              <w:t>部分</w:t>
            </w:r>
          </w:p>
        </w:tc>
        <w:tc>
          <w:tcPr>
            <w:tcW w:w="5744" w:type="dxa"/>
            <w:gridSpan w:val="2"/>
            <w:tcBorders>
              <w:top w:val="single" w:color="000000" w:sz="8" w:space="0"/>
              <w:left w:val="single" w:color="000000" w:sz="8" w:space="0"/>
              <w:bottom w:val="single" w:color="000000" w:sz="8" w:space="0"/>
              <w:right w:val="single" w:color="000000" w:sz="8" w:space="0"/>
            </w:tcBorders>
            <w:noWrap w:val="0"/>
            <w:vAlign w:val="top"/>
          </w:tcPr>
          <w:p w14:paraId="15ABFA95">
            <w:pPr>
              <w:keepNext w:val="0"/>
              <w:keepLines w:val="0"/>
              <w:pageBreakBefore w:val="0"/>
              <w:kinsoku/>
              <w:wordWrap w:val="0"/>
              <w:overflowPunct/>
              <w:topLinePunct w:val="0"/>
              <w:autoSpaceDE/>
              <w:autoSpaceDN/>
              <w:bidi w:val="0"/>
              <w:adjustRightInd/>
              <w:snapToGrid/>
              <w:spacing w:line="400" w:lineRule="exact"/>
              <w:jc w:val="center"/>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45</w:t>
            </w:r>
          </w:p>
        </w:tc>
      </w:tr>
      <w:tr w14:paraId="7B34D8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 w:type="dxa"/>
          <w:tblCellSpacing w:w="0" w:type="dxa"/>
          <w:jc w:val="center"/>
        </w:trPr>
        <w:tc>
          <w:tcPr>
            <w:tcW w:w="508" w:type="dxa"/>
            <w:gridSpan w:val="3"/>
            <w:vMerge w:val="continue"/>
            <w:tcBorders>
              <w:left w:val="single" w:color="000000" w:sz="8" w:space="0"/>
              <w:right w:val="single" w:color="000000" w:sz="8" w:space="0"/>
            </w:tcBorders>
            <w:noWrap w:val="0"/>
            <w:vAlign w:val="center"/>
          </w:tcPr>
          <w:p w14:paraId="090B9534">
            <w:pPr>
              <w:rPr>
                <w:rFonts w:hint="eastAsia" w:ascii="宋体" w:hAnsi="宋体" w:eastAsia="宋体" w:cs="宋体"/>
                <w:b/>
                <w:bCs/>
                <w:sz w:val="24"/>
                <w:szCs w:val="24"/>
                <w:highlight w:val="none"/>
              </w:rPr>
            </w:pPr>
          </w:p>
        </w:tc>
        <w:tc>
          <w:tcPr>
            <w:tcW w:w="8622" w:type="dxa"/>
            <w:gridSpan w:val="6"/>
            <w:tcBorders>
              <w:top w:val="single" w:color="000000" w:sz="8" w:space="0"/>
              <w:left w:val="single" w:color="000000" w:sz="8" w:space="0"/>
              <w:bottom w:val="single" w:color="000000" w:sz="8" w:space="0"/>
              <w:right w:val="single" w:color="000000" w:sz="8" w:space="0"/>
            </w:tcBorders>
            <w:noWrap w:val="0"/>
            <w:vAlign w:val="top"/>
          </w:tcPr>
          <w:p w14:paraId="2C9B4A3A">
            <w:pPr>
              <w:keepNext w:val="0"/>
              <w:keepLines w:val="0"/>
              <w:pageBreakBefore w:val="0"/>
              <w:kinsoku/>
              <w:wordWrap w:val="0"/>
              <w:overflowPunct/>
              <w:topLinePunct w:val="0"/>
              <w:autoSpaceDE/>
              <w:autoSpaceDN/>
              <w:bidi w:val="0"/>
              <w:adjustRightInd/>
              <w:snapToGrid/>
              <w:spacing w:line="400" w:lineRule="exact"/>
              <w:textAlignment w:val="auto"/>
              <w:rPr>
                <w:rFonts w:hint="default" w:ascii="宋体" w:hAnsi="宋体" w:eastAsia="宋体" w:cs="宋体"/>
                <w:sz w:val="24"/>
                <w:szCs w:val="24"/>
                <w:highlight w:val="none"/>
                <w:lang w:val="en-US" w:eastAsia="zh-CN"/>
              </w:rPr>
            </w:pPr>
          </w:p>
        </w:tc>
      </w:tr>
      <w:tr w14:paraId="788387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 w:type="dxa"/>
          <w:tblCellSpacing w:w="0" w:type="dxa"/>
          <w:jc w:val="center"/>
        </w:trPr>
        <w:tc>
          <w:tcPr>
            <w:tcW w:w="508" w:type="dxa"/>
            <w:gridSpan w:val="3"/>
            <w:vMerge w:val="continue"/>
            <w:tcBorders>
              <w:left w:val="single" w:color="000000" w:sz="8" w:space="0"/>
              <w:right w:val="single" w:color="000000" w:sz="8" w:space="0"/>
            </w:tcBorders>
            <w:shd w:val="clear" w:color="auto" w:fill="E6EFFA"/>
            <w:noWrap w:val="0"/>
            <w:vAlign w:val="center"/>
          </w:tcPr>
          <w:p w14:paraId="2AFC36F4">
            <w:pPr>
              <w:rPr>
                <w:rFonts w:hint="eastAsia" w:ascii="宋体" w:hAnsi="宋体" w:eastAsia="宋体" w:cs="宋体"/>
                <w:b/>
                <w:bCs/>
                <w:sz w:val="24"/>
                <w:szCs w:val="24"/>
                <w:highlight w:val="none"/>
              </w:rPr>
            </w:pPr>
          </w:p>
        </w:tc>
        <w:tc>
          <w:tcPr>
            <w:tcW w:w="733" w:type="dxa"/>
            <w:gridSpan w:val="2"/>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D82CEA6">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37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1375194A">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评分因素</w:t>
            </w:r>
          </w:p>
        </w:tc>
        <w:tc>
          <w:tcPr>
            <w:tcW w:w="77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45DE015D">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权重(%)</w:t>
            </w:r>
          </w:p>
        </w:tc>
        <w:tc>
          <w:tcPr>
            <w:tcW w:w="5744" w:type="dxa"/>
            <w:gridSpan w:val="2"/>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484A4783">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评分准则</w:t>
            </w:r>
          </w:p>
        </w:tc>
      </w:tr>
      <w:tr w14:paraId="234713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 w:type="dxa"/>
          <w:tblCellSpacing w:w="0" w:type="dxa"/>
          <w:jc w:val="center"/>
        </w:trPr>
        <w:tc>
          <w:tcPr>
            <w:tcW w:w="508" w:type="dxa"/>
            <w:gridSpan w:val="3"/>
            <w:vMerge w:val="continue"/>
            <w:tcBorders>
              <w:left w:val="single" w:color="000000" w:sz="8" w:space="0"/>
              <w:right w:val="single" w:color="000000" w:sz="8" w:space="0"/>
            </w:tcBorders>
            <w:noWrap w:val="0"/>
            <w:vAlign w:val="center"/>
          </w:tcPr>
          <w:p w14:paraId="7D8B6B8D">
            <w:pPr>
              <w:rPr>
                <w:rFonts w:hint="eastAsia" w:ascii="宋体" w:hAnsi="宋体" w:eastAsia="宋体" w:cs="宋体"/>
                <w:b/>
                <w:bCs/>
                <w:sz w:val="24"/>
                <w:szCs w:val="24"/>
                <w:highlight w:val="none"/>
              </w:rPr>
            </w:pPr>
          </w:p>
        </w:tc>
        <w:tc>
          <w:tcPr>
            <w:tcW w:w="733" w:type="dxa"/>
            <w:gridSpan w:val="2"/>
            <w:tcBorders>
              <w:left w:val="single" w:color="000000" w:sz="8" w:space="0"/>
              <w:bottom w:val="single" w:color="000000" w:sz="8" w:space="0"/>
              <w:right w:val="single" w:color="000000" w:sz="8" w:space="0"/>
            </w:tcBorders>
            <w:noWrap w:val="0"/>
            <w:vAlign w:val="center"/>
          </w:tcPr>
          <w:p w14:paraId="4653EC64">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371" w:type="dxa"/>
            <w:tcBorders>
              <w:left w:val="single" w:color="000000" w:sz="8" w:space="0"/>
              <w:bottom w:val="single" w:color="000000" w:sz="8" w:space="0"/>
              <w:right w:val="single" w:color="000000" w:sz="8" w:space="0"/>
            </w:tcBorders>
            <w:noWrap w:val="0"/>
            <w:vAlign w:val="center"/>
          </w:tcPr>
          <w:p w14:paraId="743E6B45">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同类业绩</w:t>
            </w:r>
          </w:p>
        </w:tc>
        <w:tc>
          <w:tcPr>
            <w:tcW w:w="774" w:type="dxa"/>
            <w:tcBorders>
              <w:left w:val="single" w:color="000000" w:sz="8" w:space="0"/>
              <w:bottom w:val="single" w:color="000000" w:sz="8" w:space="0"/>
              <w:right w:val="single" w:color="000000" w:sz="8" w:space="0"/>
            </w:tcBorders>
            <w:noWrap w:val="0"/>
            <w:vAlign w:val="center"/>
          </w:tcPr>
          <w:p w14:paraId="3EEA685F">
            <w:pPr>
              <w:keepNext w:val="0"/>
              <w:keepLines w:val="0"/>
              <w:pageBreakBefore w:val="0"/>
              <w:kinsoku/>
              <w:wordWrap w:val="0"/>
              <w:overflowPunct/>
              <w:topLinePunct w:val="0"/>
              <w:autoSpaceDE/>
              <w:autoSpaceDN/>
              <w:bidi w:val="0"/>
              <w:adjustRightInd/>
              <w:snapToGrid/>
              <w:spacing w:line="40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p>
        </w:tc>
        <w:tc>
          <w:tcPr>
            <w:tcW w:w="5744" w:type="dxa"/>
            <w:gridSpan w:val="2"/>
            <w:tcBorders>
              <w:top w:val="single" w:color="000000" w:sz="8" w:space="0"/>
              <w:left w:val="single" w:color="000000" w:sz="8" w:space="0"/>
              <w:bottom w:val="single" w:color="000000" w:sz="8" w:space="0"/>
              <w:right w:val="single" w:color="000000" w:sz="8" w:space="0"/>
            </w:tcBorders>
            <w:noWrap w:val="0"/>
            <w:vAlign w:val="center"/>
          </w:tcPr>
          <w:p w14:paraId="4EA99377">
            <w:pPr>
              <w:spacing w:line="24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（一）评分内容：</w:t>
            </w:r>
          </w:p>
          <w:p w14:paraId="09D0D549">
            <w:pPr>
              <w:spacing w:line="240" w:lineRule="auto"/>
              <w:ind w:left="-78" w:leftChars="-37" w:right="-73" w:rightChars="-35" w:firstLine="480" w:firstLineChars="200"/>
              <w:jc w:val="left"/>
              <w:rPr>
                <w:rFonts w:hint="eastAsia" w:ascii="宋体" w:hAnsi="宋体" w:eastAsia="宋体" w:cs="宋体"/>
                <w:color w:val="000000"/>
                <w:sz w:val="24"/>
                <w:szCs w:val="24"/>
                <w:highlight w:val="none"/>
              </w:rPr>
            </w:pPr>
            <w:r>
              <w:rPr>
                <w:rFonts w:hint="eastAsia" w:asciiTheme="minorEastAsia" w:hAnsiTheme="minorEastAsia" w:eastAsiaTheme="minorEastAsia" w:cstheme="minorEastAsia"/>
                <w:b w:val="0"/>
                <w:bCs w:val="0"/>
                <w:color w:val="000000"/>
                <w:sz w:val="24"/>
                <w:szCs w:val="24"/>
                <w:lang w:val="en-US" w:eastAsia="zh-CN"/>
              </w:rPr>
              <w:t>从2023年1月1日</w:t>
            </w:r>
            <w:r>
              <w:rPr>
                <w:rFonts w:hint="eastAsia" w:asciiTheme="minorEastAsia" w:hAnsiTheme="minorEastAsia" w:eastAsiaTheme="minorEastAsia" w:cstheme="minorEastAsia"/>
                <w:color w:val="000000"/>
                <w:sz w:val="24"/>
                <w:szCs w:val="24"/>
                <w:highlight w:val="none"/>
              </w:rPr>
              <w:t>至本项</w:t>
            </w:r>
            <w:r>
              <w:rPr>
                <w:rFonts w:hint="eastAsia" w:ascii="宋体" w:hAnsi="宋体" w:eastAsia="宋体" w:cs="宋体"/>
                <w:color w:val="000000"/>
                <w:sz w:val="24"/>
                <w:szCs w:val="24"/>
                <w:highlight w:val="none"/>
              </w:rPr>
              <w:t>目</w:t>
            </w:r>
            <w:r>
              <w:rPr>
                <w:rFonts w:hint="eastAsia" w:ascii="宋体" w:hAnsi="宋体" w:eastAsia="宋体" w:cs="宋体"/>
                <w:color w:val="000000"/>
                <w:sz w:val="24"/>
                <w:szCs w:val="24"/>
                <w:highlight w:val="none"/>
                <w:lang w:val="en-US" w:eastAsia="zh-CN"/>
              </w:rPr>
              <w:t>投标截止</w:t>
            </w:r>
            <w:r>
              <w:rPr>
                <w:rFonts w:hint="eastAsia" w:ascii="宋体" w:hAnsi="宋体" w:eastAsia="宋体" w:cs="宋体"/>
                <w:color w:val="000000"/>
                <w:sz w:val="24"/>
                <w:szCs w:val="24"/>
                <w:highlight w:val="none"/>
              </w:rPr>
              <w:t>日（以合同签订日期为准）：</w:t>
            </w:r>
          </w:p>
          <w:p w14:paraId="20346492">
            <w:pPr>
              <w:numPr>
                <w:ilvl w:val="0"/>
                <w:numId w:val="0"/>
              </w:numPr>
              <w:spacing w:line="240" w:lineRule="auto"/>
              <w:ind w:right="-73" w:rightChars="-35"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投标人</w:t>
            </w:r>
            <w:r>
              <w:rPr>
                <w:rFonts w:hint="eastAsia" w:ascii="宋体" w:hAnsi="宋体" w:eastAsia="宋体" w:cs="宋体"/>
                <w:color w:val="000000"/>
                <w:sz w:val="24"/>
                <w:szCs w:val="24"/>
                <w:highlight w:val="none"/>
                <w:lang w:val="en-US" w:eastAsia="zh-CN"/>
              </w:rPr>
              <w:t>具有承接</w:t>
            </w:r>
            <w:r>
              <w:rPr>
                <w:rFonts w:hint="eastAsia" w:ascii="宋体" w:hAnsi="宋体" w:cs="宋体"/>
                <w:color w:val="000000"/>
                <w:sz w:val="24"/>
                <w:szCs w:val="24"/>
                <w:highlight w:val="none"/>
                <w:lang w:val="en-US" w:eastAsia="zh-CN"/>
              </w:rPr>
              <w:t>装修改造或房建类</w:t>
            </w:r>
            <w:r>
              <w:rPr>
                <w:rFonts w:hint="eastAsia" w:ascii="宋体" w:hAnsi="宋体" w:eastAsia="宋体" w:cs="宋体"/>
                <w:color w:val="000000"/>
                <w:sz w:val="24"/>
                <w:szCs w:val="24"/>
                <w:highlight w:val="none"/>
                <w:lang w:val="en-US" w:eastAsia="zh-CN"/>
              </w:rPr>
              <w:t>工程监理工作的经验，每提供一个得</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分，本项最高</w:t>
            </w:r>
            <w:r>
              <w:rPr>
                <w:rFonts w:hint="eastAsia" w:ascii="宋体" w:hAnsi="宋体" w:cs="宋体"/>
                <w:color w:val="000000"/>
                <w:sz w:val="24"/>
                <w:szCs w:val="24"/>
                <w:highlight w:val="none"/>
                <w:lang w:val="en-US" w:eastAsia="zh-CN"/>
              </w:rPr>
              <w:t>15</w:t>
            </w:r>
            <w:r>
              <w:rPr>
                <w:rFonts w:hint="eastAsia" w:ascii="宋体" w:hAnsi="宋体" w:eastAsia="宋体" w:cs="宋体"/>
                <w:color w:val="000000"/>
                <w:sz w:val="24"/>
                <w:szCs w:val="24"/>
                <w:highlight w:val="none"/>
                <w:lang w:val="en-US" w:eastAsia="zh-CN"/>
              </w:rPr>
              <w:t>分。</w:t>
            </w:r>
          </w:p>
          <w:p w14:paraId="16E7D827">
            <w:pPr>
              <w:spacing w:line="240" w:lineRule="auto"/>
              <w:ind w:left="-78" w:leftChars="-37" w:right="-73" w:rightChars="-35"/>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（二）评审标准：</w:t>
            </w:r>
          </w:p>
          <w:p w14:paraId="4FC4D59C">
            <w:pPr>
              <w:spacing w:line="240" w:lineRule="auto"/>
              <w:ind w:left="-78" w:leftChars="-37" w:right="-73" w:rightChars="-35" w:firstLine="480" w:firstLineChars="200"/>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需</w:t>
            </w:r>
            <w:r>
              <w:rPr>
                <w:rFonts w:hint="eastAsia" w:ascii="宋体" w:hAnsi="宋体" w:eastAsia="宋体" w:cs="宋体"/>
                <w:color w:val="000000"/>
                <w:sz w:val="24"/>
                <w:szCs w:val="24"/>
                <w:highlight w:val="none"/>
              </w:rPr>
              <w:t>提供</w:t>
            </w:r>
            <w:r>
              <w:rPr>
                <w:rFonts w:hint="eastAsia" w:ascii="宋体" w:hAnsi="宋体" w:eastAsia="宋体" w:cs="宋体"/>
                <w:color w:val="000000"/>
                <w:sz w:val="24"/>
                <w:szCs w:val="24"/>
                <w:highlight w:val="none"/>
                <w:lang w:val="en-US" w:eastAsia="zh-CN"/>
              </w:rPr>
              <w:t>中标通知书（如有）</w:t>
            </w:r>
            <w:r>
              <w:rPr>
                <w:rFonts w:hint="eastAsia" w:ascii="宋体" w:hAnsi="宋体" w:cs="宋体"/>
                <w:color w:val="000000"/>
                <w:sz w:val="24"/>
                <w:szCs w:val="24"/>
                <w:highlight w:val="none"/>
                <w:lang w:val="en-US" w:eastAsia="zh-CN"/>
              </w:rPr>
              <w:t>和</w:t>
            </w:r>
            <w:r>
              <w:rPr>
                <w:rFonts w:hint="eastAsia" w:ascii="宋体" w:hAnsi="宋体" w:eastAsia="宋体" w:cs="宋体"/>
                <w:color w:val="000000"/>
                <w:sz w:val="24"/>
                <w:szCs w:val="24"/>
                <w:highlight w:val="none"/>
              </w:rPr>
              <w:t>合同关键页</w:t>
            </w:r>
            <w:r>
              <w:rPr>
                <w:rFonts w:hint="eastAsia" w:ascii="宋体" w:hAnsi="宋体" w:eastAsia="宋体" w:cs="宋体"/>
                <w:color w:val="000000"/>
                <w:sz w:val="24"/>
                <w:szCs w:val="24"/>
                <w:highlight w:val="none"/>
                <w:lang w:val="en-US" w:eastAsia="zh-CN"/>
              </w:rPr>
              <w:t>扫描件</w:t>
            </w:r>
            <w:r>
              <w:rPr>
                <w:rFonts w:hint="eastAsia" w:ascii="宋体" w:hAnsi="宋体" w:eastAsia="宋体" w:cs="宋体"/>
                <w:color w:val="000000"/>
                <w:sz w:val="24"/>
                <w:szCs w:val="24"/>
                <w:highlight w:val="none"/>
              </w:rPr>
              <w:t>。未按要求提供或提供不清晰导致专家无法判断的不得分。</w:t>
            </w:r>
          </w:p>
        </w:tc>
      </w:tr>
      <w:tr w14:paraId="614AD3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 w:type="dxa"/>
          <w:tblCellSpacing w:w="0" w:type="dxa"/>
          <w:jc w:val="center"/>
        </w:trPr>
        <w:tc>
          <w:tcPr>
            <w:tcW w:w="508" w:type="dxa"/>
            <w:gridSpan w:val="3"/>
            <w:vMerge w:val="continue"/>
            <w:tcBorders>
              <w:left w:val="single" w:color="000000" w:sz="8" w:space="0"/>
              <w:right w:val="single" w:color="000000" w:sz="8" w:space="0"/>
            </w:tcBorders>
            <w:noWrap w:val="0"/>
            <w:vAlign w:val="center"/>
          </w:tcPr>
          <w:p w14:paraId="78959741">
            <w:pPr>
              <w:rPr>
                <w:rFonts w:hint="eastAsia" w:ascii="宋体" w:hAnsi="宋体" w:eastAsia="宋体" w:cs="宋体"/>
                <w:b/>
                <w:bCs/>
                <w:sz w:val="24"/>
                <w:szCs w:val="24"/>
                <w:highlight w:val="none"/>
              </w:rPr>
            </w:pPr>
          </w:p>
        </w:tc>
        <w:tc>
          <w:tcPr>
            <w:tcW w:w="733" w:type="dxa"/>
            <w:gridSpan w:val="2"/>
            <w:tcBorders>
              <w:left w:val="single" w:color="000000" w:sz="8" w:space="0"/>
              <w:bottom w:val="single" w:color="000000" w:sz="8" w:space="0"/>
              <w:right w:val="single" w:color="000000" w:sz="8" w:space="0"/>
            </w:tcBorders>
            <w:noWrap w:val="0"/>
            <w:vAlign w:val="center"/>
          </w:tcPr>
          <w:p w14:paraId="00F6B277">
            <w:pPr>
              <w:keepNext w:val="0"/>
              <w:keepLines w:val="0"/>
              <w:pageBreakBefore w:val="0"/>
              <w:kinsoku/>
              <w:wordWrap w:val="0"/>
              <w:overflowPunct/>
              <w:topLinePunct w:val="0"/>
              <w:autoSpaceDE/>
              <w:autoSpaceDN/>
              <w:bidi w:val="0"/>
              <w:adjustRightInd/>
              <w:snapToGrid/>
              <w:spacing w:line="4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371" w:type="dxa"/>
            <w:tcBorders>
              <w:left w:val="single" w:color="000000" w:sz="8" w:space="0"/>
              <w:bottom w:val="single" w:color="000000" w:sz="8" w:space="0"/>
              <w:right w:val="single" w:color="000000" w:sz="8" w:space="0"/>
            </w:tcBorders>
            <w:noWrap w:val="0"/>
            <w:vAlign w:val="center"/>
          </w:tcPr>
          <w:p w14:paraId="4D648FA5">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拟派本项目负责人情况（仅限1人）</w:t>
            </w:r>
          </w:p>
        </w:tc>
        <w:tc>
          <w:tcPr>
            <w:tcW w:w="774" w:type="dxa"/>
            <w:tcBorders>
              <w:left w:val="single" w:color="000000" w:sz="8" w:space="0"/>
              <w:bottom w:val="single" w:color="000000" w:sz="8" w:space="0"/>
              <w:right w:val="single" w:color="000000" w:sz="8" w:space="0"/>
            </w:tcBorders>
            <w:noWrap w:val="0"/>
            <w:vAlign w:val="center"/>
          </w:tcPr>
          <w:p w14:paraId="7558489D">
            <w:pPr>
              <w:keepNext w:val="0"/>
              <w:keepLines w:val="0"/>
              <w:pageBreakBefore w:val="0"/>
              <w:kinsoku/>
              <w:wordWrap w:val="0"/>
              <w:overflowPunct/>
              <w:topLinePunct w:val="0"/>
              <w:autoSpaceDE/>
              <w:autoSpaceDN/>
              <w:bidi w:val="0"/>
              <w:adjustRightInd/>
              <w:snapToGrid/>
              <w:spacing w:line="40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5744" w:type="dxa"/>
            <w:gridSpan w:val="2"/>
            <w:tcBorders>
              <w:top w:val="single" w:color="000000" w:sz="8" w:space="0"/>
              <w:left w:val="single" w:color="000000" w:sz="8" w:space="0"/>
              <w:bottom w:val="single" w:color="000000" w:sz="8" w:space="0"/>
              <w:right w:val="single" w:color="000000" w:sz="8" w:space="0"/>
            </w:tcBorders>
            <w:noWrap w:val="0"/>
            <w:vAlign w:val="center"/>
          </w:tcPr>
          <w:p w14:paraId="3624E8DF">
            <w:pPr>
              <w:spacing w:line="24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（一）评分内容：</w:t>
            </w:r>
          </w:p>
          <w:p w14:paraId="1BC0F947">
            <w:pPr>
              <w:spacing w:line="240" w:lineRule="auto"/>
              <w:ind w:firstLine="480" w:firstLineChars="200"/>
              <w:jc w:val="left"/>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拟派本项目负责人</w:t>
            </w:r>
            <w:r>
              <w:rPr>
                <w:rFonts w:hint="eastAsia" w:ascii="宋体" w:hAnsi="宋体" w:eastAsia="宋体" w:cs="宋体"/>
                <w:color w:val="000000"/>
                <w:sz w:val="24"/>
                <w:szCs w:val="24"/>
                <w:highlight w:val="none"/>
                <w:lang w:val="en-US" w:eastAsia="zh-CN"/>
              </w:rPr>
              <w:t>具有</w:t>
            </w:r>
            <w:r>
              <w:rPr>
                <w:rFonts w:hint="eastAsia" w:ascii="宋体" w:hAnsi="宋体" w:cs="宋体"/>
                <w:color w:val="000000"/>
                <w:sz w:val="24"/>
                <w:szCs w:val="24"/>
                <w:highlight w:val="none"/>
                <w:lang w:val="en-US" w:eastAsia="zh-CN"/>
              </w:rPr>
              <w:t>房屋建筑</w:t>
            </w:r>
            <w:r>
              <w:rPr>
                <w:rFonts w:hint="eastAsia" w:ascii="宋体" w:hAnsi="宋体" w:eastAsia="宋体" w:cs="宋体"/>
                <w:color w:val="000000"/>
                <w:sz w:val="24"/>
                <w:szCs w:val="24"/>
                <w:highlight w:val="none"/>
                <w:lang w:val="en-US" w:eastAsia="zh-CN"/>
              </w:rPr>
              <w:t>工程专业注册监理工程师执业证书，在此基础上进行评审：</w:t>
            </w:r>
          </w:p>
          <w:p w14:paraId="4997BD1B">
            <w:pPr>
              <w:numPr>
                <w:ilvl w:val="0"/>
                <w:numId w:val="0"/>
              </w:numPr>
              <w:spacing w:line="240" w:lineRule="auto"/>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rPr>
              <w:t>、具</w:t>
            </w:r>
            <w:r>
              <w:rPr>
                <w:rFonts w:hint="eastAsia" w:ascii="宋体" w:hAnsi="宋体" w:eastAsia="宋体" w:cs="宋体"/>
                <w:b w:val="0"/>
                <w:bCs w:val="0"/>
                <w:color w:val="000000"/>
                <w:sz w:val="24"/>
                <w:szCs w:val="24"/>
                <w:highlight w:val="none"/>
                <w:lang w:val="en-US" w:eastAsia="zh-CN"/>
              </w:rPr>
              <w:t>有工程类或建筑类相关专业</w:t>
            </w:r>
            <w:r>
              <w:rPr>
                <w:rFonts w:hint="eastAsia" w:ascii="宋体" w:hAnsi="宋体" w:cs="宋体"/>
                <w:b w:val="0"/>
                <w:bCs w:val="0"/>
                <w:color w:val="000000"/>
                <w:sz w:val="24"/>
                <w:szCs w:val="24"/>
                <w:highlight w:val="none"/>
                <w:lang w:val="en-US" w:eastAsia="zh-CN"/>
              </w:rPr>
              <w:t>本科</w:t>
            </w:r>
            <w:r>
              <w:rPr>
                <w:rFonts w:hint="eastAsia" w:ascii="宋体" w:hAnsi="宋体" w:eastAsia="宋体" w:cs="宋体"/>
                <w:b w:val="0"/>
                <w:bCs w:val="0"/>
                <w:color w:val="000000"/>
                <w:sz w:val="24"/>
                <w:szCs w:val="24"/>
                <w:highlight w:val="none"/>
                <w:lang w:val="en-US" w:eastAsia="zh-CN"/>
              </w:rPr>
              <w:t>及以上学历</w:t>
            </w:r>
            <w:r>
              <w:rPr>
                <w:rFonts w:hint="eastAsia" w:ascii="宋体" w:hAnsi="宋体" w:eastAsia="宋体" w:cs="宋体"/>
                <w:b w:val="0"/>
                <w:bCs w:val="0"/>
                <w:color w:val="000000"/>
                <w:sz w:val="24"/>
                <w:szCs w:val="24"/>
                <w:highlight w:val="none"/>
              </w:rPr>
              <w:t>得</w:t>
            </w: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rPr>
              <w:t>分。</w:t>
            </w:r>
          </w:p>
          <w:p w14:paraId="36954151">
            <w:pPr>
              <w:pStyle w:val="21"/>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具</w:t>
            </w:r>
            <w:r>
              <w:rPr>
                <w:rFonts w:hint="eastAsia" w:ascii="宋体" w:hAnsi="宋体" w:eastAsia="宋体" w:cs="宋体"/>
                <w:b w:val="0"/>
                <w:bCs w:val="0"/>
                <w:color w:val="000000"/>
                <w:sz w:val="24"/>
                <w:szCs w:val="24"/>
                <w:highlight w:val="none"/>
                <w:lang w:val="en-US" w:eastAsia="zh-CN"/>
              </w:rPr>
              <w:t>有建筑相关专业中级或以上工程师职称证书的</w:t>
            </w:r>
            <w:r>
              <w:rPr>
                <w:rFonts w:hint="eastAsia" w:ascii="宋体" w:hAnsi="宋体" w:eastAsia="宋体" w:cs="宋体"/>
                <w:b w:val="0"/>
                <w:bCs w:val="0"/>
                <w:color w:val="000000"/>
                <w:sz w:val="24"/>
                <w:szCs w:val="24"/>
                <w:highlight w:val="none"/>
              </w:rPr>
              <w:t>得</w:t>
            </w:r>
            <w:r>
              <w:rPr>
                <w:rFonts w:hint="eastAsia" w:hAnsi="宋体" w:cs="宋体"/>
                <w:b w:val="0"/>
                <w:bCs w:val="0"/>
                <w:color w:val="000000"/>
                <w:sz w:val="24"/>
                <w:szCs w:val="24"/>
                <w:highlight w:val="none"/>
                <w:lang w:val="en-US" w:eastAsia="zh-CN"/>
              </w:rPr>
              <w:t>4</w:t>
            </w:r>
            <w:r>
              <w:rPr>
                <w:rFonts w:hint="eastAsia" w:ascii="宋体" w:hAnsi="宋体" w:eastAsia="宋体" w:cs="宋体"/>
                <w:b w:val="0"/>
                <w:bCs w:val="0"/>
                <w:color w:val="000000"/>
                <w:sz w:val="24"/>
                <w:szCs w:val="24"/>
                <w:highlight w:val="none"/>
              </w:rPr>
              <w:t>分</w:t>
            </w:r>
            <w:r>
              <w:rPr>
                <w:rFonts w:hint="eastAsia" w:hAnsi="宋体" w:cs="宋体"/>
                <w:b w:val="0"/>
                <w:bCs w:val="0"/>
                <w:color w:val="000000"/>
                <w:sz w:val="24"/>
                <w:szCs w:val="24"/>
                <w:highlight w:val="none"/>
                <w:lang w:eastAsia="zh-CN"/>
              </w:rPr>
              <w:t>，</w:t>
            </w:r>
            <w:r>
              <w:rPr>
                <w:rFonts w:hint="eastAsia" w:hAnsi="宋体" w:cs="宋体"/>
                <w:b w:val="0"/>
                <w:bCs w:val="0"/>
                <w:color w:val="000000"/>
                <w:sz w:val="24"/>
                <w:szCs w:val="24"/>
                <w:highlight w:val="none"/>
                <w:lang w:val="en-US" w:eastAsia="zh-CN"/>
              </w:rPr>
              <w:t>其他情况不得分</w:t>
            </w:r>
            <w:r>
              <w:rPr>
                <w:rFonts w:hint="eastAsia" w:ascii="宋体" w:hAnsi="宋体" w:eastAsia="宋体" w:cs="宋体"/>
                <w:b w:val="0"/>
                <w:bCs w:val="0"/>
                <w:color w:val="000000"/>
                <w:sz w:val="24"/>
                <w:szCs w:val="24"/>
                <w:highlight w:val="none"/>
                <w:lang w:eastAsia="zh-CN"/>
              </w:rPr>
              <w:t>。</w:t>
            </w:r>
          </w:p>
          <w:p w14:paraId="3454859E">
            <w:pPr>
              <w:pStyle w:val="21"/>
              <w:rPr>
                <w:rFonts w:hint="default" w:ascii="宋体" w:hAnsi="宋体" w:eastAsia="宋体" w:cs="宋体"/>
                <w:b w:val="0"/>
                <w:bCs w:val="0"/>
                <w:color w:val="000000"/>
                <w:sz w:val="24"/>
                <w:szCs w:val="24"/>
                <w:highlight w:val="none"/>
                <w:lang w:val="en-US" w:eastAsia="zh-CN"/>
              </w:rPr>
            </w:pPr>
            <w:r>
              <w:rPr>
                <w:rFonts w:hint="eastAsia" w:hAnsi="宋体" w:cs="宋体"/>
                <w:b w:val="0"/>
                <w:bCs w:val="0"/>
                <w:color w:val="000000"/>
                <w:sz w:val="24"/>
                <w:szCs w:val="24"/>
                <w:highlight w:val="none"/>
                <w:lang w:val="en-US" w:eastAsia="zh-CN"/>
              </w:rPr>
              <w:t>3、从2023年1月1日至</w:t>
            </w:r>
            <w:r>
              <w:rPr>
                <w:rFonts w:hint="eastAsia" w:ascii="宋体" w:hAnsi="宋体" w:eastAsia="宋体" w:cs="宋体"/>
                <w:color w:val="000000"/>
                <w:sz w:val="24"/>
                <w:szCs w:val="24"/>
                <w:highlight w:val="none"/>
              </w:rPr>
              <w:t>本项目</w:t>
            </w:r>
            <w:r>
              <w:rPr>
                <w:rFonts w:hint="eastAsia" w:ascii="宋体" w:hAnsi="宋体" w:eastAsia="宋体" w:cs="宋体"/>
                <w:color w:val="000000"/>
                <w:sz w:val="24"/>
                <w:szCs w:val="24"/>
                <w:highlight w:val="none"/>
                <w:lang w:val="en-US" w:eastAsia="zh-CN"/>
              </w:rPr>
              <w:t>投标截止</w:t>
            </w:r>
            <w:r>
              <w:rPr>
                <w:rFonts w:hint="eastAsia" w:ascii="宋体" w:hAnsi="宋体" w:eastAsia="宋体" w:cs="宋体"/>
                <w:color w:val="000000"/>
                <w:sz w:val="24"/>
                <w:szCs w:val="24"/>
                <w:highlight w:val="none"/>
              </w:rPr>
              <w:t>日</w:t>
            </w:r>
            <w:r>
              <w:rPr>
                <w:rFonts w:hint="eastAsia" w:hAnsi="宋体" w:cs="宋体"/>
                <w:color w:val="000000"/>
                <w:sz w:val="24"/>
                <w:szCs w:val="24"/>
                <w:highlight w:val="none"/>
                <w:lang w:eastAsia="zh-CN"/>
              </w:rPr>
              <w:t>（以竣工验收时间为准）</w:t>
            </w:r>
            <w:r>
              <w:rPr>
                <w:rFonts w:hint="eastAsia" w:hAnsi="宋体" w:cs="宋体"/>
                <w:b w:val="0"/>
                <w:bCs w:val="0"/>
                <w:color w:val="000000"/>
                <w:sz w:val="24"/>
                <w:szCs w:val="24"/>
                <w:highlight w:val="none"/>
                <w:lang w:val="en-US" w:eastAsia="zh-CN"/>
              </w:rPr>
              <w:t>具有一个</w:t>
            </w:r>
            <w:r>
              <w:rPr>
                <w:rFonts w:hint="eastAsia" w:ascii="宋体" w:hAnsi="宋体" w:cs="宋体"/>
                <w:color w:val="000000"/>
                <w:sz w:val="24"/>
                <w:szCs w:val="24"/>
                <w:highlight w:val="none"/>
                <w:lang w:val="en-US" w:eastAsia="zh-CN"/>
              </w:rPr>
              <w:t>装修改造或房建类</w:t>
            </w:r>
            <w:r>
              <w:rPr>
                <w:rFonts w:hint="eastAsia" w:ascii="宋体" w:hAnsi="宋体" w:eastAsia="宋体" w:cs="宋体"/>
                <w:color w:val="000000"/>
                <w:sz w:val="24"/>
                <w:szCs w:val="24"/>
                <w:highlight w:val="none"/>
                <w:lang w:val="en-US" w:eastAsia="zh-CN"/>
              </w:rPr>
              <w:t>工程</w:t>
            </w:r>
            <w:r>
              <w:rPr>
                <w:rFonts w:hint="eastAsia" w:hAnsi="宋体" w:cs="宋体"/>
                <w:b w:val="0"/>
                <w:bCs w:val="0"/>
                <w:color w:val="000000"/>
                <w:sz w:val="24"/>
                <w:szCs w:val="24"/>
                <w:highlight w:val="none"/>
                <w:lang w:val="en-US" w:eastAsia="zh-CN"/>
              </w:rPr>
              <w:t>监理业绩得3分。</w:t>
            </w:r>
          </w:p>
          <w:p w14:paraId="7C779479">
            <w:pPr>
              <w:spacing w:line="240" w:lineRule="auto"/>
              <w:ind w:left="-78" w:leftChars="-37" w:right="-73" w:rightChars="-35"/>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（二）评审标准：</w:t>
            </w:r>
          </w:p>
          <w:p w14:paraId="30C1D05D">
            <w:pPr>
              <w:spacing w:line="24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提供开标日前由投标人为其缴交的载有社保部门公章的近</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个月</w:t>
            </w:r>
            <w:r>
              <w:rPr>
                <w:rFonts w:hint="eastAsia" w:ascii="宋体" w:hAnsi="宋体" w:eastAsia="宋体" w:cs="宋体"/>
                <w:color w:val="000000"/>
                <w:sz w:val="24"/>
                <w:szCs w:val="24"/>
                <w:highlight w:val="none"/>
                <w:lang w:val="en-US" w:eastAsia="zh-CN"/>
              </w:rPr>
              <w:t>任意一个月</w:t>
            </w:r>
            <w:r>
              <w:rPr>
                <w:rFonts w:hint="eastAsia" w:ascii="宋体" w:hAnsi="宋体" w:eastAsia="宋体" w:cs="宋体"/>
                <w:color w:val="000000"/>
                <w:sz w:val="24"/>
                <w:szCs w:val="24"/>
                <w:highlight w:val="none"/>
              </w:rPr>
              <w:t>社保缴纳证明材料，如开标日上一个月的社保材料因社保部门原因暂时无法取得，则可以往前顺延一个月；</w:t>
            </w:r>
            <w:r>
              <w:rPr>
                <w:rFonts w:hint="eastAsia" w:ascii="宋体" w:hAnsi="宋体" w:eastAsia="宋体" w:cs="宋体"/>
                <w:color w:val="000000"/>
                <w:sz w:val="24"/>
                <w:szCs w:val="24"/>
                <w:highlight w:val="none"/>
                <w:lang w:val="en-US" w:eastAsia="zh-CN"/>
              </w:rPr>
              <w:t>如项目负责人为退休人员，需提供退休证明、返聘合同及社保停缴前社保缴纳证明材料等</w:t>
            </w:r>
            <w:r>
              <w:rPr>
                <w:rFonts w:hint="eastAsia" w:ascii="宋体" w:hAnsi="宋体" w:eastAsia="宋体" w:cs="宋体"/>
                <w:color w:val="000000"/>
                <w:sz w:val="24"/>
                <w:szCs w:val="24"/>
                <w:highlight w:val="none"/>
              </w:rPr>
              <w:t>。</w:t>
            </w:r>
          </w:p>
          <w:p w14:paraId="3B5884B9">
            <w:pPr>
              <w:spacing w:line="24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2.涉及学历的，提供学历证书扫描件</w:t>
            </w:r>
            <w:r>
              <w:rPr>
                <w:rFonts w:hint="eastAsia" w:ascii="宋体" w:hAnsi="宋体" w:cs="宋体"/>
                <w:color w:val="000000"/>
                <w:sz w:val="24"/>
                <w:szCs w:val="24"/>
                <w:highlight w:val="none"/>
                <w:lang w:val="en-US" w:eastAsia="zh-CN"/>
              </w:rPr>
              <w:t>。</w:t>
            </w:r>
          </w:p>
          <w:p w14:paraId="7820D7F6">
            <w:pPr>
              <w:spacing w:line="24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3.提供</w:t>
            </w:r>
            <w:r>
              <w:rPr>
                <w:rFonts w:hint="eastAsia" w:ascii="宋体" w:hAnsi="宋体" w:eastAsia="宋体" w:cs="宋体"/>
                <w:color w:val="000000"/>
                <w:sz w:val="24"/>
                <w:szCs w:val="24"/>
                <w:highlight w:val="none"/>
              </w:rPr>
              <w:t>职称</w:t>
            </w:r>
            <w:r>
              <w:rPr>
                <w:rFonts w:hint="eastAsia" w:ascii="宋体" w:hAnsi="宋体" w:eastAsia="宋体" w:cs="宋体"/>
                <w:color w:val="000000"/>
                <w:sz w:val="24"/>
                <w:szCs w:val="24"/>
                <w:highlight w:val="none"/>
                <w:lang w:val="en-US" w:eastAsia="zh-CN"/>
              </w:rPr>
              <w:t>证书及资质证书扫描件。</w:t>
            </w:r>
          </w:p>
          <w:p w14:paraId="570963E9">
            <w:pPr>
              <w:spacing w:line="240" w:lineRule="auto"/>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4.业绩需提供中标通知书</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如有</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、合同关键页、竣工验收报告扫描件。</w:t>
            </w:r>
          </w:p>
          <w:p w14:paraId="715A2FF6">
            <w:pPr>
              <w:spacing w:line="240" w:lineRule="auto"/>
              <w:jc w:val="left"/>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5.未按要求提供或提供不清晰导致专家无法判断的不得分，原件备查。</w:t>
            </w:r>
          </w:p>
        </w:tc>
      </w:tr>
      <w:tr w14:paraId="315148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 w:type="dxa"/>
          <w:tblCellSpacing w:w="0" w:type="dxa"/>
          <w:jc w:val="center"/>
        </w:trPr>
        <w:tc>
          <w:tcPr>
            <w:tcW w:w="508" w:type="dxa"/>
            <w:gridSpan w:val="3"/>
            <w:vMerge w:val="continue"/>
            <w:tcBorders>
              <w:left w:val="single" w:color="000000" w:sz="8" w:space="0"/>
              <w:right w:val="single" w:color="000000" w:sz="8" w:space="0"/>
            </w:tcBorders>
            <w:noWrap w:val="0"/>
            <w:vAlign w:val="center"/>
          </w:tcPr>
          <w:p w14:paraId="0E002AB2">
            <w:pPr>
              <w:rPr>
                <w:rFonts w:hint="eastAsia" w:ascii="宋体" w:hAnsi="宋体" w:eastAsia="宋体" w:cs="宋体"/>
                <w:b/>
                <w:bCs/>
                <w:sz w:val="24"/>
                <w:szCs w:val="24"/>
                <w:highlight w:val="none"/>
              </w:rPr>
            </w:pPr>
          </w:p>
        </w:tc>
        <w:tc>
          <w:tcPr>
            <w:tcW w:w="733" w:type="dxa"/>
            <w:gridSpan w:val="2"/>
            <w:tcBorders>
              <w:left w:val="single" w:color="000000" w:sz="8" w:space="0"/>
              <w:bottom w:val="single" w:color="000000" w:sz="8" w:space="0"/>
              <w:right w:val="single" w:color="000000" w:sz="8" w:space="0"/>
            </w:tcBorders>
            <w:noWrap w:val="0"/>
            <w:vAlign w:val="center"/>
          </w:tcPr>
          <w:p w14:paraId="58328868">
            <w:pPr>
              <w:keepNext w:val="0"/>
              <w:keepLines w:val="0"/>
              <w:pageBreakBefore w:val="0"/>
              <w:kinsoku/>
              <w:wordWrap w:val="0"/>
              <w:overflowPunct/>
              <w:topLinePunct w:val="0"/>
              <w:autoSpaceDE/>
              <w:autoSpaceDN/>
              <w:bidi w:val="0"/>
              <w:adjustRightInd/>
              <w:snapToGrid/>
              <w:spacing w:line="400" w:lineRule="exac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371" w:type="dxa"/>
            <w:tcBorders>
              <w:left w:val="single" w:color="000000" w:sz="8" w:space="0"/>
              <w:bottom w:val="single" w:color="000000" w:sz="8" w:space="0"/>
              <w:right w:val="single" w:color="000000" w:sz="8" w:space="0"/>
            </w:tcBorders>
            <w:noWrap w:val="0"/>
            <w:vAlign w:val="center"/>
          </w:tcPr>
          <w:p w14:paraId="4B11DE5E">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拟安排的项目团队成员情况</w:t>
            </w:r>
          </w:p>
        </w:tc>
        <w:tc>
          <w:tcPr>
            <w:tcW w:w="774" w:type="dxa"/>
            <w:tcBorders>
              <w:left w:val="single" w:color="000000" w:sz="8" w:space="0"/>
              <w:bottom w:val="single" w:color="000000" w:sz="8" w:space="0"/>
              <w:right w:val="single" w:color="000000" w:sz="8" w:space="0"/>
            </w:tcBorders>
            <w:noWrap w:val="0"/>
            <w:vAlign w:val="center"/>
          </w:tcPr>
          <w:p w14:paraId="27F540E2">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0</w:t>
            </w:r>
          </w:p>
        </w:tc>
        <w:tc>
          <w:tcPr>
            <w:tcW w:w="5744" w:type="dxa"/>
            <w:gridSpan w:val="2"/>
            <w:tcBorders>
              <w:top w:val="single" w:color="000000" w:sz="8" w:space="0"/>
              <w:left w:val="single" w:color="000000" w:sz="8" w:space="0"/>
              <w:bottom w:val="single" w:color="000000" w:sz="8" w:space="0"/>
              <w:right w:val="single" w:color="000000" w:sz="8" w:space="0"/>
            </w:tcBorders>
            <w:noWrap w:val="0"/>
            <w:vAlign w:val="center"/>
          </w:tcPr>
          <w:p w14:paraId="0028B4E5">
            <w:pPr>
              <w:spacing w:after="60" w:line="24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（一）评分内容：</w:t>
            </w:r>
          </w:p>
          <w:p w14:paraId="1AE58CF9">
            <w:pPr>
              <w:spacing w:line="24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项目组成员（项目负责人除外）不应少于</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且是投标人自有员工，否则</w:t>
            </w:r>
            <w:r>
              <w:rPr>
                <w:rFonts w:hint="eastAsia" w:ascii="宋体" w:hAnsi="宋体" w:eastAsia="宋体" w:cs="宋体"/>
                <w:color w:val="000000"/>
                <w:sz w:val="24"/>
                <w:szCs w:val="24"/>
                <w:highlight w:val="none"/>
              </w:rPr>
              <w:t>本项不得分。</w:t>
            </w:r>
          </w:p>
          <w:p w14:paraId="4A70D6DE">
            <w:pPr>
              <w:pStyle w:val="21"/>
              <w:numPr>
                <w:ilvl w:val="0"/>
                <w:numId w:val="0"/>
              </w:numPr>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000000"/>
                <w:sz w:val="24"/>
                <w:szCs w:val="24"/>
                <w:highlight w:val="none"/>
                <w:lang w:val="en-US" w:eastAsia="zh-CN"/>
              </w:rPr>
              <w:t>团队成员</w:t>
            </w:r>
            <w:r>
              <w:rPr>
                <w:rFonts w:hint="eastAsia" w:ascii="宋体" w:hAnsi="宋体" w:eastAsia="宋体" w:cs="宋体"/>
                <w:color w:val="000000"/>
                <w:sz w:val="24"/>
                <w:szCs w:val="24"/>
                <w:highlight w:val="none"/>
              </w:rPr>
              <w:t>具有</w:t>
            </w:r>
            <w:r>
              <w:rPr>
                <w:rFonts w:hint="eastAsia" w:ascii="宋体" w:hAnsi="宋体" w:eastAsia="宋体" w:cs="宋体"/>
                <w:color w:val="000000"/>
                <w:sz w:val="24"/>
                <w:szCs w:val="24"/>
                <w:highlight w:val="none"/>
                <w:lang w:val="en-US" w:eastAsia="zh-CN"/>
              </w:rPr>
              <w:t>中级及以上职称证书的，</w:t>
            </w:r>
            <w:r>
              <w:rPr>
                <w:rFonts w:hint="eastAsia" w:ascii="宋体" w:hAnsi="宋体" w:eastAsia="宋体" w:cs="宋体"/>
                <w:color w:val="000000"/>
                <w:sz w:val="24"/>
                <w:szCs w:val="24"/>
                <w:highlight w:val="none"/>
              </w:rPr>
              <w:t>每提供1人得</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分，本项最高得</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w:t>
            </w:r>
          </w:p>
          <w:p w14:paraId="0E244AA0">
            <w:pPr>
              <w:pStyle w:val="21"/>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团队成员</w:t>
            </w:r>
            <w:r>
              <w:rPr>
                <w:rFonts w:hint="eastAsia" w:ascii="宋体" w:hAnsi="宋体" w:eastAsia="宋体" w:cs="宋体"/>
                <w:color w:val="000000"/>
                <w:sz w:val="24"/>
                <w:szCs w:val="24"/>
                <w:highlight w:val="none"/>
              </w:rPr>
              <w:t>具有</w:t>
            </w:r>
            <w:r>
              <w:rPr>
                <w:rFonts w:hint="eastAsia" w:ascii="宋体" w:hAnsi="宋体" w:cs="宋体"/>
                <w:color w:val="000000"/>
                <w:sz w:val="24"/>
                <w:szCs w:val="24"/>
                <w:highlight w:val="none"/>
                <w:lang w:val="en-US" w:eastAsia="zh-CN"/>
              </w:rPr>
              <w:t>房屋建筑</w:t>
            </w:r>
            <w:r>
              <w:rPr>
                <w:rFonts w:hint="eastAsia" w:ascii="宋体" w:hAnsi="宋体" w:eastAsia="宋体" w:cs="宋体"/>
                <w:color w:val="000000"/>
                <w:sz w:val="24"/>
                <w:szCs w:val="24"/>
                <w:highlight w:val="none"/>
                <w:lang w:val="en-US" w:eastAsia="zh-CN"/>
              </w:rPr>
              <w:t>工程专业注册监理工程师执业证书，</w:t>
            </w:r>
            <w:r>
              <w:rPr>
                <w:rFonts w:hint="eastAsia" w:ascii="宋体" w:hAnsi="宋体" w:eastAsia="宋体" w:cs="宋体"/>
                <w:color w:val="000000"/>
                <w:sz w:val="24"/>
                <w:szCs w:val="24"/>
                <w:highlight w:val="none"/>
              </w:rPr>
              <w:t>每提供1人得</w:t>
            </w:r>
            <w:r>
              <w:rPr>
                <w:rFonts w:hint="eastAsia"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分，本项最高得</w:t>
            </w:r>
            <w:r>
              <w:rPr>
                <w:rFonts w:hint="eastAsia"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分。</w:t>
            </w:r>
          </w:p>
          <w:p w14:paraId="541DBAD6">
            <w:pPr>
              <w:pStyle w:val="21"/>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团队成员</w:t>
            </w:r>
            <w:r>
              <w:rPr>
                <w:rFonts w:hint="eastAsia" w:ascii="宋体" w:hAnsi="宋体" w:eastAsia="宋体" w:cs="宋体"/>
                <w:color w:val="000000"/>
                <w:sz w:val="24"/>
                <w:szCs w:val="24"/>
                <w:highlight w:val="none"/>
              </w:rPr>
              <w:t>具有</w:t>
            </w:r>
            <w:r>
              <w:rPr>
                <w:rFonts w:hint="eastAsia" w:ascii="宋体" w:hAnsi="宋体" w:cs="宋体"/>
                <w:sz w:val="24"/>
                <w:szCs w:val="24"/>
                <w:highlight w:val="none"/>
                <w:lang w:val="en-US" w:eastAsia="zh-CN"/>
              </w:rPr>
              <w:t>国家安全生产监督管理总局和应急管理局颁发的注册安全工程师（专业：建筑施工安全）证书</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每提供1人得</w:t>
            </w:r>
            <w:r>
              <w:rPr>
                <w:rFonts w:hint="eastAsia"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分，本项最高得</w:t>
            </w:r>
            <w:r>
              <w:rPr>
                <w:rFonts w:hint="eastAsia"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分。</w:t>
            </w:r>
          </w:p>
          <w:p w14:paraId="6B5F8FD3">
            <w:pPr>
              <w:pStyle w:val="21"/>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以上人员累计最多得分为</w:t>
            </w:r>
            <w:r>
              <w:rPr>
                <w:rFonts w:hint="eastAsia" w:ascii="宋体" w:hAnsi="宋体" w:eastAsia="宋体" w:cs="宋体"/>
                <w:color w:val="000000"/>
                <w:sz w:val="24"/>
                <w:szCs w:val="24"/>
                <w:highlight w:val="none"/>
                <w:lang w:val="en-US" w:eastAsia="zh-CN"/>
              </w:rPr>
              <w:t>1</w:t>
            </w:r>
            <w:r>
              <w:rPr>
                <w:rFonts w:hint="eastAsia" w:hAnsi="宋体" w:cs="宋体"/>
                <w:color w:val="000000"/>
                <w:sz w:val="24"/>
                <w:szCs w:val="24"/>
                <w:highlight w:val="none"/>
                <w:lang w:val="en-US" w:eastAsia="zh-CN"/>
              </w:rPr>
              <w:t>0</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同一人员具有多个证书的</w:t>
            </w:r>
            <w:r>
              <w:rPr>
                <w:rFonts w:hint="eastAsia" w:hAnsi="宋体" w:cs="宋体"/>
                <w:color w:val="000000"/>
                <w:sz w:val="24"/>
                <w:szCs w:val="24"/>
                <w:highlight w:val="none"/>
                <w:lang w:val="en-US" w:eastAsia="zh-CN"/>
              </w:rPr>
              <w:t>不可</w:t>
            </w:r>
            <w:r>
              <w:rPr>
                <w:rFonts w:hint="eastAsia" w:ascii="宋体" w:hAnsi="宋体" w:eastAsia="宋体" w:cs="宋体"/>
                <w:color w:val="000000"/>
                <w:sz w:val="24"/>
                <w:szCs w:val="24"/>
                <w:highlight w:val="none"/>
                <w:lang w:val="en-US" w:eastAsia="zh-CN"/>
              </w:rPr>
              <w:t>累计得分</w:t>
            </w:r>
            <w:r>
              <w:rPr>
                <w:rFonts w:hint="eastAsia" w:ascii="宋体" w:hAnsi="宋体" w:eastAsia="宋体" w:cs="宋体"/>
                <w:color w:val="000000"/>
                <w:sz w:val="24"/>
                <w:szCs w:val="24"/>
                <w:highlight w:val="none"/>
              </w:rPr>
              <w:t>。</w:t>
            </w:r>
          </w:p>
          <w:p w14:paraId="5F1F9638">
            <w:pPr>
              <w:spacing w:line="240" w:lineRule="auto"/>
              <w:ind w:left="-78" w:leftChars="-37" w:right="-73" w:rightChars="-35"/>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（二）评审标准：</w:t>
            </w:r>
          </w:p>
          <w:p w14:paraId="06052650">
            <w:pPr>
              <w:spacing w:line="24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提供开标日前由投标人为其缴交的载有社保部门公章的近</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个月</w:t>
            </w:r>
            <w:r>
              <w:rPr>
                <w:rFonts w:hint="eastAsia" w:ascii="宋体" w:hAnsi="宋体" w:eastAsia="宋体" w:cs="宋体"/>
                <w:color w:val="000000"/>
                <w:sz w:val="24"/>
                <w:szCs w:val="24"/>
                <w:highlight w:val="none"/>
                <w:lang w:val="en-US" w:eastAsia="zh-CN"/>
              </w:rPr>
              <w:t>任意一个月</w:t>
            </w:r>
            <w:r>
              <w:rPr>
                <w:rFonts w:hint="eastAsia" w:ascii="宋体" w:hAnsi="宋体" w:eastAsia="宋体" w:cs="宋体"/>
                <w:color w:val="000000"/>
                <w:sz w:val="24"/>
                <w:szCs w:val="24"/>
                <w:highlight w:val="none"/>
              </w:rPr>
              <w:t>社保缴纳证明材料，如开标日上一个月的社保材料因社保部门原因暂时无法取得，则可以往前顺延一个月，投标人若为新成立企业（或成立时间不足</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月）的，按成立时限提供；</w:t>
            </w:r>
          </w:p>
          <w:p w14:paraId="5F6AB5C7">
            <w:pPr>
              <w:spacing w:line="240" w:lineRule="auto"/>
              <w:jc w:val="left"/>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.提供</w:t>
            </w:r>
            <w:r>
              <w:rPr>
                <w:rFonts w:hint="eastAsia" w:ascii="宋体" w:hAnsi="宋体" w:eastAsia="宋体" w:cs="宋体"/>
                <w:color w:val="000000"/>
                <w:sz w:val="24"/>
                <w:szCs w:val="24"/>
                <w:highlight w:val="none"/>
              </w:rPr>
              <w:t>职称</w:t>
            </w:r>
            <w:r>
              <w:rPr>
                <w:rFonts w:hint="eastAsia" w:ascii="宋体" w:hAnsi="宋体" w:eastAsia="宋体" w:cs="宋体"/>
                <w:color w:val="000000"/>
                <w:sz w:val="24"/>
                <w:szCs w:val="24"/>
                <w:highlight w:val="none"/>
                <w:lang w:val="en-US" w:eastAsia="zh-CN"/>
              </w:rPr>
              <w:t>证书证书扫描件。</w:t>
            </w:r>
          </w:p>
          <w:p w14:paraId="77E9E715">
            <w:pPr>
              <w:spacing w:line="240" w:lineRule="auto"/>
              <w:jc w:val="left"/>
              <w:rPr>
                <w:rFonts w:hint="eastAsia" w:ascii="宋体" w:hAnsi="宋体" w:eastAsia="宋体" w:cs="宋体"/>
                <w:snapToGrid/>
                <w:color w:val="auto"/>
                <w:kern w:val="2"/>
                <w:sz w:val="24"/>
                <w:szCs w:val="24"/>
                <w:highlight w:val="none"/>
                <w:lang w:val="en-US" w:eastAsia="zh-CN" w:bidi="ar-SA"/>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未按要求提供或提供不清晰导致专家无法判断的不得分，原件备查。</w:t>
            </w:r>
          </w:p>
        </w:tc>
      </w:tr>
      <w:tr w14:paraId="4BAF35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 w:type="dxa"/>
          <w:tblCellSpacing w:w="0" w:type="dxa"/>
          <w:jc w:val="center"/>
        </w:trPr>
        <w:tc>
          <w:tcPr>
            <w:tcW w:w="508" w:type="dxa"/>
            <w:gridSpan w:val="3"/>
            <w:vMerge w:val="continue"/>
            <w:tcBorders>
              <w:left w:val="single" w:color="000000" w:sz="8" w:space="0"/>
              <w:right w:val="single" w:color="000000" w:sz="8" w:space="0"/>
            </w:tcBorders>
            <w:noWrap w:val="0"/>
            <w:vAlign w:val="center"/>
          </w:tcPr>
          <w:p w14:paraId="3DCDEA23">
            <w:pPr>
              <w:rPr>
                <w:rFonts w:hint="eastAsia" w:ascii="宋体" w:hAnsi="宋体" w:eastAsia="宋体" w:cs="宋体"/>
                <w:b/>
                <w:bCs/>
                <w:sz w:val="24"/>
                <w:szCs w:val="24"/>
                <w:highlight w:val="none"/>
              </w:rPr>
            </w:pPr>
          </w:p>
        </w:tc>
        <w:tc>
          <w:tcPr>
            <w:tcW w:w="733" w:type="dxa"/>
            <w:gridSpan w:val="2"/>
            <w:tcBorders>
              <w:left w:val="single" w:color="000000" w:sz="8" w:space="0"/>
              <w:bottom w:val="single" w:color="000000" w:sz="8" w:space="0"/>
              <w:right w:val="single" w:color="000000" w:sz="8" w:space="0"/>
            </w:tcBorders>
            <w:noWrap w:val="0"/>
            <w:vAlign w:val="center"/>
          </w:tcPr>
          <w:p w14:paraId="159FA04F">
            <w:pPr>
              <w:keepNext w:val="0"/>
              <w:keepLines w:val="0"/>
              <w:pageBreakBefore w:val="0"/>
              <w:kinsoku/>
              <w:wordWrap w:val="0"/>
              <w:overflowPunct/>
              <w:topLinePunct w:val="0"/>
              <w:autoSpaceDE/>
              <w:autoSpaceDN/>
              <w:bidi w:val="0"/>
              <w:adjustRightInd/>
              <w:snapToGrid/>
              <w:spacing w:line="400" w:lineRule="exact"/>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c>
          <w:tcPr>
            <w:tcW w:w="1371" w:type="dxa"/>
            <w:tcBorders>
              <w:left w:val="single" w:color="000000" w:sz="8" w:space="0"/>
              <w:bottom w:val="single" w:color="000000" w:sz="8" w:space="0"/>
              <w:right w:val="single" w:color="000000" w:sz="8" w:space="0"/>
            </w:tcBorders>
            <w:shd w:val="clear" w:color="auto" w:fill="auto"/>
            <w:noWrap w:val="0"/>
            <w:vAlign w:val="center"/>
          </w:tcPr>
          <w:p w14:paraId="2EB18708">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投标人通过相关认证情况</w:t>
            </w:r>
          </w:p>
        </w:tc>
        <w:tc>
          <w:tcPr>
            <w:tcW w:w="774" w:type="dxa"/>
            <w:tcBorders>
              <w:left w:val="single" w:color="000000" w:sz="8" w:space="0"/>
              <w:bottom w:val="single" w:color="000000" w:sz="8" w:space="0"/>
              <w:right w:val="single" w:color="000000" w:sz="8" w:space="0"/>
            </w:tcBorders>
            <w:shd w:val="clear" w:color="auto" w:fill="auto"/>
            <w:noWrap w:val="0"/>
            <w:vAlign w:val="center"/>
          </w:tcPr>
          <w:p w14:paraId="60EA0BCA">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574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387B1C1C">
            <w:pPr>
              <w:spacing w:after="60" w:line="24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（一）评分内容：</w:t>
            </w:r>
          </w:p>
          <w:p w14:paraId="3039CC14">
            <w:pPr>
              <w:pStyle w:val="21"/>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投标人具有在有效期内的</w:t>
            </w:r>
            <w:r>
              <w:rPr>
                <w:rFonts w:hint="eastAsia" w:hAnsi="宋体" w:cs="宋体"/>
                <w:color w:val="000000"/>
                <w:sz w:val="24"/>
                <w:szCs w:val="24"/>
                <w:highlight w:val="none"/>
                <w:lang w:val="en-US" w:eastAsia="zh-CN"/>
              </w:rPr>
              <w:t>质</w:t>
            </w:r>
            <w:r>
              <w:rPr>
                <w:rFonts w:hint="eastAsia" w:ascii="宋体" w:hAnsi="宋体" w:eastAsia="宋体" w:cs="宋体"/>
                <w:color w:val="000000"/>
                <w:sz w:val="24"/>
                <w:szCs w:val="24"/>
                <w:highlight w:val="none"/>
              </w:rPr>
              <w:t>量管理体系认证、环境管理体系认证、职业健康安全管理体系认证情况（认证范围覆盖本项目属性）：</w:t>
            </w:r>
          </w:p>
          <w:p w14:paraId="7BF866DB">
            <w:pPr>
              <w:pStyle w:val="21"/>
              <w:spacing w:line="24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三项认证全部具备的得</w:t>
            </w:r>
            <w:r>
              <w:rPr>
                <w:rFonts w:hint="eastAsia"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分；其他情况不得分。</w:t>
            </w:r>
          </w:p>
          <w:p w14:paraId="2D73D9D3">
            <w:pPr>
              <w:spacing w:line="240" w:lineRule="auto"/>
              <w:ind w:left="-78" w:leftChars="-37" w:right="-73" w:rightChars="-35"/>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24"/>
                <w:szCs w:val="24"/>
                <w:highlight w:val="none"/>
              </w:rPr>
              <w:t>（二）评审标准：</w:t>
            </w:r>
          </w:p>
          <w:p w14:paraId="529E5C81">
            <w:pPr>
              <w:pStyle w:val="21"/>
              <w:spacing w:line="240" w:lineRule="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证明文件</w:t>
            </w:r>
            <w:r>
              <w:rPr>
                <w:rFonts w:hint="eastAsia" w:ascii="宋体" w:hAnsi="宋体" w:eastAsia="宋体" w:cs="宋体"/>
                <w:color w:val="000000"/>
                <w:sz w:val="24"/>
                <w:szCs w:val="24"/>
                <w:highlight w:val="none"/>
                <w:lang w:val="zh-CN"/>
              </w:rPr>
              <w:t xml:space="preserve">： </w:t>
            </w:r>
          </w:p>
          <w:p w14:paraId="1A6B46C7">
            <w:pPr>
              <w:pStyle w:val="21"/>
              <w:spacing w:line="24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CN"/>
              </w:rPr>
              <w:t>提供有效的认证证书复印件或扫描件加盖投标人公章，原件备查。</w:t>
            </w:r>
            <w:r>
              <w:rPr>
                <w:rFonts w:hint="eastAsia" w:ascii="宋体" w:hAnsi="宋体" w:eastAsia="宋体" w:cs="宋体"/>
                <w:color w:val="000000"/>
                <w:sz w:val="24"/>
                <w:szCs w:val="24"/>
                <w:highlight w:val="none"/>
              </w:rPr>
              <w:t>不具备或未提供有效证明文件的，不得分。</w:t>
            </w:r>
          </w:p>
        </w:tc>
      </w:tr>
      <w:tr w14:paraId="63A9AB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 w:type="dxa"/>
          <w:tblCellSpacing w:w="0" w:type="dxa"/>
          <w:jc w:val="center"/>
        </w:trPr>
        <w:tc>
          <w:tcPr>
            <w:tcW w:w="508" w:type="dxa"/>
            <w:gridSpan w:val="3"/>
            <w:vMerge w:val="continue"/>
            <w:tcBorders>
              <w:left w:val="single" w:color="000000" w:sz="8" w:space="0"/>
              <w:right w:val="single" w:color="000000" w:sz="8" w:space="0"/>
            </w:tcBorders>
            <w:noWrap w:val="0"/>
            <w:vAlign w:val="center"/>
          </w:tcPr>
          <w:p w14:paraId="53DEE77B">
            <w:pPr>
              <w:rPr>
                <w:rFonts w:hint="eastAsia" w:ascii="宋体" w:hAnsi="宋体" w:eastAsia="宋体" w:cs="宋体"/>
                <w:b/>
                <w:bCs/>
                <w:sz w:val="24"/>
                <w:szCs w:val="24"/>
                <w:highlight w:val="none"/>
              </w:rPr>
            </w:pPr>
          </w:p>
        </w:tc>
        <w:tc>
          <w:tcPr>
            <w:tcW w:w="733" w:type="dxa"/>
            <w:gridSpan w:val="2"/>
            <w:tcBorders>
              <w:left w:val="single" w:color="000000" w:sz="8" w:space="0"/>
              <w:bottom w:val="single" w:color="000000" w:sz="8" w:space="0"/>
              <w:right w:val="single" w:color="000000" w:sz="8" w:space="0"/>
            </w:tcBorders>
            <w:noWrap w:val="0"/>
            <w:vAlign w:val="center"/>
          </w:tcPr>
          <w:p w14:paraId="27437AD6">
            <w:pPr>
              <w:keepNext w:val="0"/>
              <w:keepLines w:val="0"/>
              <w:pageBreakBefore w:val="0"/>
              <w:kinsoku/>
              <w:wordWrap w:val="0"/>
              <w:overflowPunct/>
              <w:topLinePunct w:val="0"/>
              <w:autoSpaceDE/>
              <w:autoSpaceDN/>
              <w:bidi w:val="0"/>
              <w:adjustRightInd/>
              <w:snapToGrid/>
              <w:spacing w:line="400" w:lineRule="exact"/>
              <w:jc w:val="center"/>
              <w:textAlignment w:val="auto"/>
              <w:rPr>
                <w:rFonts w:hint="default" w:ascii="宋体" w:hAnsi="宋体" w:eastAsia="宋体" w:cs="宋体"/>
                <w:sz w:val="24"/>
                <w:szCs w:val="24"/>
                <w:highlight w:val="yellow"/>
                <w:lang w:val="en-US" w:eastAsia="zh-CN"/>
              </w:rPr>
            </w:pPr>
            <w:r>
              <w:rPr>
                <w:rFonts w:hint="eastAsia" w:ascii="宋体" w:hAnsi="宋体" w:cs="宋体"/>
                <w:sz w:val="24"/>
                <w:szCs w:val="24"/>
                <w:highlight w:val="yellow"/>
                <w:lang w:val="en-US" w:eastAsia="zh-CN"/>
              </w:rPr>
              <w:t>5</w:t>
            </w:r>
          </w:p>
        </w:tc>
        <w:tc>
          <w:tcPr>
            <w:tcW w:w="1371" w:type="dxa"/>
            <w:tcBorders>
              <w:left w:val="single" w:color="000000" w:sz="8" w:space="0"/>
              <w:bottom w:val="single" w:color="000000" w:sz="8" w:space="0"/>
              <w:right w:val="single" w:color="000000" w:sz="8" w:space="0"/>
            </w:tcBorders>
            <w:shd w:val="clear" w:color="auto" w:fill="auto"/>
            <w:noWrap w:val="0"/>
            <w:vAlign w:val="center"/>
          </w:tcPr>
          <w:p w14:paraId="330F5DA4">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rPr>
              <w:t>投标人获奖情况</w:t>
            </w:r>
          </w:p>
        </w:tc>
        <w:tc>
          <w:tcPr>
            <w:tcW w:w="774" w:type="dxa"/>
            <w:tcBorders>
              <w:left w:val="single" w:color="000000" w:sz="8" w:space="0"/>
              <w:bottom w:val="single" w:color="000000" w:sz="8" w:space="0"/>
              <w:right w:val="single" w:color="000000" w:sz="8" w:space="0"/>
            </w:tcBorders>
            <w:shd w:val="clear" w:color="auto" w:fill="auto"/>
            <w:noWrap w:val="0"/>
            <w:vAlign w:val="center"/>
          </w:tcPr>
          <w:p w14:paraId="352830D4">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5</w:t>
            </w:r>
          </w:p>
        </w:tc>
        <w:tc>
          <w:tcPr>
            <w:tcW w:w="574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9B49B36">
            <w:pPr>
              <w:spacing w:after="60" w:line="240" w:lineRule="auto"/>
              <w:rPr>
                <w:rFonts w:hint="eastAsia" w:ascii="宋体" w:hAnsi="宋体" w:eastAsia="宋体" w:cs="宋体"/>
                <w:b/>
                <w:color w:val="000000"/>
                <w:sz w:val="24"/>
                <w:szCs w:val="24"/>
                <w:highlight w:val="yellow"/>
                <w:lang w:val="zh-CN"/>
              </w:rPr>
            </w:pPr>
            <w:r>
              <w:rPr>
                <w:rFonts w:hint="eastAsia" w:ascii="宋体" w:hAnsi="宋体" w:eastAsia="宋体" w:cs="宋体"/>
                <w:b/>
                <w:color w:val="000000"/>
                <w:sz w:val="24"/>
                <w:szCs w:val="24"/>
                <w:highlight w:val="yellow"/>
                <w:lang w:val="zh-CN"/>
              </w:rPr>
              <w:t>（一）评分内容：</w:t>
            </w:r>
          </w:p>
          <w:p w14:paraId="780C1F0C">
            <w:pPr>
              <w:pStyle w:val="21"/>
              <w:spacing w:line="240" w:lineRule="auto"/>
              <w:rPr>
                <w:rFonts w:hint="eastAsia" w:ascii="宋体" w:hAnsi="宋体" w:eastAsia="宋体" w:cs="宋体"/>
                <w:color w:val="000000"/>
                <w:sz w:val="24"/>
                <w:szCs w:val="24"/>
                <w:highlight w:val="yellow"/>
                <w:lang w:val="zh-CN"/>
              </w:rPr>
            </w:pPr>
            <w:r>
              <w:rPr>
                <w:rFonts w:hint="eastAsia" w:ascii="宋体" w:hAnsi="宋体" w:eastAsia="宋体" w:cs="宋体"/>
                <w:color w:val="000000"/>
                <w:sz w:val="24"/>
                <w:szCs w:val="24"/>
                <w:highlight w:val="yellow"/>
                <w:lang w:val="zh-CN"/>
              </w:rPr>
              <w:t>2023年1月1日至本项目招标公告发布之日（以证书颁发日期为准），投标人参与工程监理的的建设工程或装饰装修工程获得以下荣誉或奖项：</w:t>
            </w:r>
          </w:p>
          <w:p w14:paraId="0E022354">
            <w:pPr>
              <w:pStyle w:val="21"/>
              <w:spacing w:line="240" w:lineRule="auto"/>
              <w:rPr>
                <w:rFonts w:hint="eastAsia" w:ascii="宋体" w:hAnsi="宋体" w:eastAsia="宋体" w:cs="宋体"/>
                <w:color w:val="000000"/>
                <w:sz w:val="24"/>
                <w:szCs w:val="24"/>
                <w:highlight w:val="yellow"/>
                <w:lang w:val="zh-CN"/>
              </w:rPr>
            </w:pPr>
            <w:r>
              <w:rPr>
                <w:rFonts w:hint="eastAsia" w:ascii="宋体" w:hAnsi="宋体" w:eastAsia="宋体" w:cs="宋体"/>
                <w:color w:val="000000"/>
                <w:sz w:val="24"/>
                <w:szCs w:val="24"/>
                <w:highlight w:val="yellow"/>
                <w:lang w:val="zh-CN"/>
              </w:rPr>
              <w:t>1. 地市级以上工程质量、监理示范、安全文明标准化工地、优质结构类奖项，每项1分；</w:t>
            </w:r>
          </w:p>
          <w:p w14:paraId="3A24F194">
            <w:pPr>
              <w:pStyle w:val="21"/>
              <w:spacing w:line="240" w:lineRule="auto"/>
              <w:rPr>
                <w:rFonts w:hint="eastAsia" w:ascii="宋体" w:hAnsi="宋体" w:eastAsia="宋体" w:cs="宋体"/>
                <w:color w:val="000000"/>
                <w:sz w:val="24"/>
                <w:szCs w:val="24"/>
                <w:highlight w:val="yellow"/>
                <w:lang w:val="zh-CN"/>
              </w:rPr>
            </w:pPr>
            <w:r>
              <w:rPr>
                <w:rFonts w:hint="eastAsia" w:ascii="宋体" w:hAnsi="宋体" w:eastAsia="宋体" w:cs="宋体"/>
                <w:color w:val="000000"/>
                <w:sz w:val="24"/>
                <w:szCs w:val="24"/>
                <w:highlight w:val="yellow"/>
                <w:lang w:val="zh-CN"/>
              </w:rPr>
              <w:t>2.其他不得分；</w:t>
            </w:r>
          </w:p>
          <w:p w14:paraId="51D92135">
            <w:pPr>
              <w:pStyle w:val="21"/>
              <w:spacing w:line="240" w:lineRule="auto"/>
              <w:rPr>
                <w:rFonts w:hint="eastAsia" w:ascii="宋体" w:hAnsi="宋体" w:eastAsia="宋体" w:cs="宋体"/>
                <w:color w:val="000000"/>
                <w:sz w:val="24"/>
                <w:szCs w:val="24"/>
                <w:highlight w:val="yellow"/>
                <w:lang w:val="zh-CN"/>
              </w:rPr>
            </w:pPr>
            <w:r>
              <w:rPr>
                <w:rFonts w:hint="eastAsia" w:ascii="宋体" w:hAnsi="宋体" w:eastAsia="宋体" w:cs="宋体"/>
                <w:color w:val="000000"/>
                <w:sz w:val="24"/>
                <w:szCs w:val="24"/>
                <w:highlight w:val="yellow"/>
                <w:lang w:val="zh-CN"/>
              </w:rPr>
              <w:t>奖项发证单位限定：各级人民政府、住建主管部门及住建系统官方建筑业、监理行业协会颁发，其他机构颁发不予认可。同一项目只计一次奖项得分，投标人最多选取5项奖项计分，奖项数量超出5项时按证书发证时间由近至远择优选取，本项累计最高得5分。不具备或未提供完整有效证明文件的不得分。</w:t>
            </w:r>
          </w:p>
          <w:p w14:paraId="3AC5F6DA">
            <w:pPr>
              <w:spacing w:line="240" w:lineRule="auto"/>
              <w:ind w:left="-78" w:leftChars="-37" w:right="-73" w:rightChars="-35"/>
              <w:jc w:val="left"/>
              <w:rPr>
                <w:rFonts w:hint="eastAsia" w:ascii="宋体" w:hAnsi="宋体" w:eastAsia="宋体" w:cs="宋体"/>
                <w:b/>
                <w:bCs/>
                <w:color w:val="000000"/>
                <w:kern w:val="0"/>
                <w:sz w:val="24"/>
                <w:szCs w:val="24"/>
                <w:highlight w:val="yellow"/>
                <w:lang w:val="zh-CN"/>
              </w:rPr>
            </w:pPr>
            <w:r>
              <w:rPr>
                <w:rFonts w:hint="eastAsia" w:ascii="宋体" w:hAnsi="宋体" w:eastAsia="宋体" w:cs="宋体"/>
                <w:b/>
                <w:bCs/>
                <w:color w:val="000000"/>
                <w:kern w:val="0"/>
                <w:sz w:val="24"/>
                <w:szCs w:val="24"/>
                <w:highlight w:val="yellow"/>
                <w:lang w:val="zh-CN"/>
              </w:rPr>
              <w:t>（二）评审标准：</w:t>
            </w:r>
          </w:p>
          <w:p w14:paraId="074B57B7">
            <w:pPr>
              <w:pStyle w:val="21"/>
              <w:spacing w:line="240" w:lineRule="auto"/>
              <w:rPr>
                <w:rFonts w:hint="eastAsia" w:ascii="宋体" w:hAnsi="宋体" w:eastAsia="宋体" w:cs="宋体"/>
                <w:color w:val="000000"/>
                <w:sz w:val="24"/>
                <w:szCs w:val="24"/>
                <w:highlight w:val="yellow"/>
                <w:lang w:val="zh-CN"/>
              </w:rPr>
            </w:pPr>
            <w:r>
              <w:rPr>
                <w:rFonts w:hint="eastAsia" w:ascii="宋体" w:hAnsi="宋体" w:eastAsia="宋体" w:cs="宋体"/>
                <w:color w:val="000000"/>
                <w:sz w:val="24"/>
                <w:szCs w:val="24"/>
                <w:highlight w:val="yellow"/>
                <w:lang w:val="zh-CN"/>
              </w:rPr>
              <w:t xml:space="preserve">证明文件： </w:t>
            </w:r>
          </w:p>
          <w:p w14:paraId="0B51F60E">
            <w:pPr>
              <w:pStyle w:val="21"/>
              <w:spacing w:line="240" w:lineRule="auto"/>
              <w:rPr>
                <w:rFonts w:hint="eastAsia" w:ascii="宋体" w:hAnsi="宋体" w:eastAsia="宋体" w:cs="宋体"/>
                <w:color w:val="000000"/>
                <w:sz w:val="24"/>
                <w:szCs w:val="24"/>
                <w:highlight w:val="yellow"/>
                <w:lang w:val="zh-CN"/>
              </w:rPr>
            </w:pPr>
            <w:r>
              <w:rPr>
                <w:rFonts w:hint="eastAsia" w:ascii="宋体" w:hAnsi="宋体" w:eastAsia="宋体" w:cs="宋体"/>
                <w:color w:val="000000"/>
                <w:sz w:val="24"/>
                <w:szCs w:val="24"/>
                <w:highlight w:val="yellow"/>
                <w:lang w:val="zh-CN"/>
              </w:rPr>
              <w:t>1.提供相关获奖证书复印件或扫描件加盖投标人公章，原件备查。</w:t>
            </w:r>
          </w:p>
          <w:p w14:paraId="349959CC">
            <w:pPr>
              <w:pStyle w:val="21"/>
              <w:spacing w:line="240" w:lineRule="auto"/>
              <w:rPr>
                <w:rFonts w:hint="eastAsia"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highlight w:val="yellow"/>
                <w:lang w:val="zh-CN"/>
              </w:rPr>
              <w:t>2.提供投标人参与获奖工程监理的证明材料（中标通知书或合同）的复印件或扫描件加盖投标人公章，原件备查。</w:t>
            </w:r>
          </w:p>
        </w:tc>
      </w:tr>
      <w:tr w14:paraId="50F2EE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 w:type="dxa"/>
          <w:tblCellSpacing w:w="0" w:type="dxa"/>
          <w:jc w:val="center"/>
        </w:trPr>
        <w:tc>
          <w:tcPr>
            <w:tcW w:w="508" w:type="dxa"/>
            <w:gridSpan w:val="3"/>
            <w:vMerge w:val="restart"/>
            <w:tcBorders>
              <w:top w:val="single" w:color="000000" w:sz="8" w:space="0"/>
              <w:left w:val="single" w:color="000000" w:sz="8" w:space="0"/>
              <w:bottom w:val="single" w:color="000000" w:sz="8" w:space="0"/>
              <w:right w:val="single" w:color="000000" w:sz="8" w:space="0"/>
            </w:tcBorders>
            <w:noWrap w:val="0"/>
            <w:vAlign w:val="top"/>
          </w:tcPr>
          <w:p w14:paraId="51447990">
            <w:pPr>
              <w:wordWrap w:val="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2878" w:type="dxa"/>
            <w:gridSpan w:val="4"/>
            <w:tcBorders>
              <w:top w:val="single" w:color="000000" w:sz="8" w:space="0"/>
              <w:left w:val="single" w:color="000000" w:sz="8" w:space="0"/>
              <w:bottom w:val="single" w:color="000000" w:sz="8" w:space="0"/>
              <w:right w:val="single" w:color="000000" w:sz="8" w:space="0"/>
            </w:tcBorders>
            <w:noWrap w:val="0"/>
            <w:vAlign w:val="top"/>
          </w:tcPr>
          <w:p w14:paraId="55C0C377">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其他部分</w:t>
            </w:r>
          </w:p>
        </w:tc>
        <w:tc>
          <w:tcPr>
            <w:tcW w:w="5744" w:type="dxa"/>
            <w:gridSpan w:val="2"/>
            <w:tcBorders>
              <w:top w:val="single" w:color="000000" w:sz="8" w:space="0"/>
              <w:left w:val="single" w:color="000000" w:sz="8" w:space="0"/>
              <w:bottom w:val="single" w:color="000000" w:sz="8" w:space="0"/>
              <w:right w:val="single" w:color="000000" w:sz="8" w:space="0"/>
            </w:tcBorders>
            <w:noWrap w:val="0"/>
            <w:vAlign w:val="top"/>
          </w:tcPr>
          <w:p w14:paraId="5D3D443C">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p>
        </w:tc>
      </w:tr>
      <w:tr w14:paraId="74C724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 w:type="dxa"/>
          <w:tblCellSpacing w:w="0" w:type="dxa"/>
          <w:jc w:val="center"/>
        </w:trPr>
        <w:tc>
          <w:tcPr>
            <w:tcW w:w="508" w:type="dxa"/>
            <w:gridSpan w:val="3"/>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6BF22FE1">
            <w:pPr>
              <w:rPr>
                <w:rFonts w:hint="eastAsia" w:ascii="宋体" w:hAnsi="宋体" w:eastAsia="宋体" w:cs="宋体"/>
                <w:b/>
                <w:bCs/>
                <w:color w:val="0070C0"/>
                <w:sz w:val="24"/>
                <w:szCs w:val="24"/>
                <w:highlight w:val="none"/>
              </w:rPr>
            </w:pPr>
          </w:p>
        </w:tc>
        <w:tc>
          <w:tcPr>
            <w:tcW w:w="733" w:type="dxa"/>
            <w:gridSpan w:val="2"/>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572FB996">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7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F709215">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评分因素</w:t>
            </w:r>
          </w:p>
        </w:tc>
        <w:tc>
          <w:tcPr>
            <w:tcW w:w="77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4612BB63">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5744" w:type="dxa"/>
            <w:gridSpan w:val="2"/>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57B440A6">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评分准则</w:t>
            </w:r>
          </w:p>
        </w:tc>
      </w:tr>
      <w:tr w14:paraId="494871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gridAfter w:val="1"/>
          <w:wAfter w:w="5" w:type="dxa"/>
          <w:tblCellSpacing w:w="0" w:type="dxa"/>
          <w:jc w:val="center"/>
        </w:trPr>
        <w:tc>
          <w:tcPr>
            <w:tcW w:w="508" w:type="dxa"/>
            <w:gridSpan w:val="3"/>
            <w:vMerge w:val="continue"/>
            <w:tcBorders>
              <w:top w:val="single" w:color="000000" w:sz="8" w:space="0"/>
              <w:left w:val="single" w:color="000000" w:sz="8" w:space="0"/>
              <w:bottom w:val="single" w:color="000000" w:sz="8" w:space="0"/>
              <w:right w:val="single" w:color="000000" w:sz="8" w:space="0"/>
            </w:tcBorders>
            <w:noWrap w:val="0"/>
            <w:vAlign w:val="center"/>
          </w:tcPr>
          <w:p w14:paraId="7F3A4B4C">
            <w:pPr>
              <w:rPr>
                <w:rFonts w:hint="eastAsia" w:ascii="宋体" w:hAnsi="宋体" w:eastAsia="宋体" w:cs="宋体"/>
                <w:b/>
                <w:bCs/>
                <w:color w:val="0070C0"/>
                <w:sz w:val="24"/>
                <w:szCs w:val="24"/>
                <w:highlight w:val="none"/>
              </w:rPr>
            </w:pPr>
          </w:p>
        </w:tc>
        <w:tc>
          <w:tcPr>
            <w:tcW w:w="733" w:type="dxa"/>
            <w:gridSpan w:val="2"/>
            <w:tcBorders>
              <w:top w:val="single" w:color="000000" w:sz="8" w:space="0"/>
              <w:left w:val="single" w:color="000000" w:sz="8" w:space="0"/>
              <w:bottom w:val="single" w:color="000000" w:sz="8" w:space="0"/>
              <w:right w:val="single" w:color="000000" w:sz="8" w:space="0"/>
            </w:tcBorders>
            <w:noWrap w:val="0"/>
            <w:vAlign w:val="center"/>
          </w:tcPr>
          <w:p w14:paraId="0CA3516E">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371" w:type="dxa"/>
            <w:tcBorders>
              <w:top w:val="single" w:color="000000" w:sz="8" w:space="0"/>
              <w:left w:val="single" w:color="000000" w:sz="8" w:space="0"/>
              <w:bottom w:val="single" w:color="000000" w:sz="8" w:space="0"/>
              <w:right w:val="single" w:color="000000" w:sz="8" w:space="0"/>
            </w:tcBorders>
            <w:noWrap w:val="0"/>
            <w:vAlign w:val="center"/>
          </w:tcPr>
          <w:p w14:paraId="4D87361D">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诚信情况</w:t>
            </w:r>
          </w:p>
          <w:p w14:paraId="6AB41E47">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p>
        </w:tc>
        <w:tc>
          <w:tcPr>
            <w:tcW w:w="774" w:type="dxa"/>
            <w:tcBorders>
              <w:top w:val="single" w:color="000000" w:sz="8" w:space="0"/>
              <w:left w:val="single" w:color="000000" w:sz="8" w:space="0"/>
              <w:bottom w:val="single" w:color="000000" w:sz="8" w:space="0"/>
              <w:right w:val="single" w:color="000000" w:sz="8" w:space="0"/>
            </w:tcBorders>
            <w:noWrap w:val="0"/>
            <w:vAlign w:val="center"/>
          </w:tcPr>
          <w:p w14:paraId="1DA7EF36">
            <w:pPr>
              <w:keepNext w:val="0"/>
              <w:keepLines w:val="0"/>
              <w:pageBreakBefore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744" w:type="dxa"/>
            <w:gridSpan w:val="2"/>
            <w:tcBorders>
              <w:top w:val="single" w:color="000000" w:sz="8" w:space="0"/>
              <w:left w:val="single" w:color="000000" w:sz="8" w:space="0"/>
              <w:bottom w:val="single" w:color="000000" w:sz="8" w:space="0"/>
              <w:right w:val="single" w:color="000000" w:sz="8" w:space="0"/>
            </w:tcBorders>
            <w:noWrap w:val="0"/>
            <w:vAlign w:val="top"/>
          </w:tcPr>
          <w:p w14:paraId="373E60BB">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24D729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lang w:eastAsia="zh-CN"/>
              </w:rPr>
              <w:t>注：此项由</w:t>
            </w:r>
            <w:r>
              <w:rPr>
                <w:rFonts w:hint="eastAsia" w:ascii="宋体" w:hAnsi="宋体" w:eastAsia="宋体" w:cs="宋体"/>
                <w:color w:val="auto"/>
                <w:sz w:val="24"/>
                <w:szCs w:val="24"/>
                <w:highlight w:val="none"/>
              </w:rPr>
              <w:t>采购代理机构通过“信用中国”、“中国政府采购网”、“深圳市政府采购监管网”以及市、区财政部门认定的其他渠道查询供应商信用信息，投标人无需提供证明材料。</w:t>
            </w:r>
          </w:p>
        </w:tc>
      </w:tr>
    </w:tbl>
    <w:p w14:paraId="7FD7D993">
      <w:pPr>
        <w:jc w:val="both"/>
      </w:pPr>
    </w:p>
    <w:p w14:paraId="411B2F3B">
      <w:pPr>
        <w:rPr>
          <w:b/>
          <w:bCs/>
        </w:rPr>
      </w:pPr>
    </w:p>
    <w:sectPr>
      <w:headerReference r:id="rId3" w:type="first"/>
      <w:footerReference r:id="rId4" w:type="default"/>
      <w:footerReference r:id="rId5"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9F" w:csb1="DFD70000"/>
  </w:font>
  <w:font w:name="H Yb 2gj">
    <w:altName w:val="黑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C1082">
    <w:pPr>
      <w:pStyle w:val="30"/>
      <w:framePr w:wrap="around" w:vAnchor="text" w:hAnchor="margin" w:xAlign="center" w:y="1"/>
      <w:rPr>
        <w:rStyle w:val="48"/>
      </w:rPr>
    </w:pPr>
    <w:r>
      <w:t xml:space="preserve">- </w:t>
    </w:r>
    <w:r>
      <w:fldChar w:fldCharType="begin"/>
    </w:r>
    <w:r>
      <w:instrText xml:space="preserve"> PAGE </w:instrText>
    </w:r>
    <w:r>
      <w:fldChar w:fldCharType="separate"/>
    </w:r>
    <w:r>
      <w:t>41</w:t>
    </w:r>
    <w:r>
      <w:fldChar w:fldCharType="end"/>
    </w:r>
    <w:r>
      <w:t xml:space="preserve"> -</w:t>
    </w:r>
  </w:p>
  <w:p w14:paraId="0F82212C">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D752C">
    <w:pPr>
      <w:pStyle w:val="30"/>
      <w:framePr w:wrap="around" w:vAnchor="text" w:hAnchor="margin" w:xAlign="center" w:y="1"/>
      <w:rPr>
        <w:rStyle w:val="48"/>
      </w:rPr>
    </w:pPr>
    <w:r>
      <w:rPr>
        <w:rStyle w:val="48"/>
      </w:rPr>
      <w:fldChar w:fldCharType="begin"/>
    </w:r>
    <w:r>
      <w:rPr>
        <w:rStyle w:val="48"/>
      </w:rPr>
      <w:instrText xml:space="preserve">PAGE  </w:instrText>
    </w:r>
    <w:r>
      <w:rPr>
        <w:rStyle w:val="48"/>
      </w:rPr>
      <w:fldChar w:fldCharType="separate"/>
    </w:r>
    <w:r>
      <w:rPr>
        <w:rStyle w:val="48"/>
      </w:rPr>
      <w:t>10</w:t>
    </w:r>
    <w:r>
      <w:rPr>
        <w:rStyle w:val="48"/>
      </w:rPr>
      <w:fldChar w:fldCharType="end"/>
    </w:r>
  </w:p>
  <w:p w14:paraId="46D4ECAE">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2B1E9">
    <w:pPr>
      <w:pStyle w:val="3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hangingChars="200"/>
      </w:pPr>
      <w:rPr>
        <w:rFonts w:hint="default" w:ascii="Wingdings" w:hAnsi="Wingdings"/>
      </w:rPr>
    </w:lvl>
  </w:abstractNum>
  <w:abstractNum w:abstractNumId="2">
    <w:nsid w:val="12503483"/>
    <w:multiLevelType w:val="multilevel"/>
    <w:tmpl w:val="12503483"/>
    <w:lvl w:ilvl="0" w:tentative="0">
      <w:start w:val="1"/>
      <w:numFmt w:val="bullet"/>
      <w:pStyle w:val="115"/>
      <w:lvlText w:val=""/>
      <w:lvlJc w:val="left"/>
      <w:pPr>
        <w:tabs>
          <w:tab w:val="left" w:pos="420"/>
        </w:tabs>
        <w:ind w:left="420" w:hanging="420"/>
      </w:pPr>
      <w:rPr>
        <w:rFonts w:hint="default" w:ascii="Wingdings" w:hAnsi="Wingdings"/>
      </w:rPr>
    </w:lvl>
    <w:lvl w:ilvl="1" w:tentative="0">
      <w:start w:val="1"/>
      <w:numFmt w:val="bullet"/>
      <w:pStyle w:val="11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0D20D0"/>
    <w:multiLevelType w:val="multilevel"/>
    <w:tmpl w:val="160D20D0"/>
    <w:lvl w:ilvl="0" w:tentative="0">
      <w:start w:val="1"/>
      <w:numFmt w:val="bullet"/>
      <w:pStyle w:val="83"/>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4">
    <w:nsid w:val="2F395B7B"/>
    <w:multiLevelType w:val="multilevel"/>
    <w:tmpl w:val="2F395B7B"/>
    <w:lvl w:ilvl="0" w:tentative="0">
      <w:start w:val="1"/>
      <w:numFmt w:val="bullet"/>
      <w:pStyle w:val="17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5">
    <w:nsid w:val="7AEF7716"/>
    <w:multiLevelType w:val="multilevel"/>
    <w:tmpl w:val="7AEF7716"/>
    <w:lvl w:ilvl="0" w:tentative="0">
      <w:start w:val="1"/>
      <w:numFmt w:val="chineseCountingThousand"/>
      <w:pStyle w:val="12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yMTY5YmNhMTdmMTgxMWFjM2UyN2UwOTU2YzQ4ODUifQ=="/>
  </w:docVars>
  <w:rsids>
    <w:rsidRoot w:val="007F25C8"/>
    <w:rsid w:val="0000153A"/>
    <w:rsid w:val="00001675"/>
    <w:rsid w:val="00020379"/>
    <w:rsid w:val="00052DDB"/>
    <w:rsid w:val="00071EC9"/>
    <w:rsid w:val="000827FE"/>
    <w:rsid w:val="000A3A81"/>
    <w:rsid w:val="000B3E00"/>
    <w:rsid w:val="000C3D94"/>
    <w:rsid w:val="000C48A0"/>
    <w:rsid w:val="000D5670"/>
    <w:rsid w:val="000F3379"/>
    <w:rsid w:val="001042B7"/>
    <w:rsid w:val="00106D84"/>
    <w:rsid w:val="00130437"/>
    <w:rsid w:val="00160B8F"/>
    <w:rsid w:val="00160D0C"/>
    <w:rsid w:val="001620C8"/>
    <w:rsid w:val="00182A88"/>
    <w:rsid w:val="00187844"/>
    <w:rsid w:val="001A55C0"/>
    <w:rsid w:val="001B378F"/>
    <w:rsid w:val="001E282D"/>
    <w:rsid w:val="002037E9"/>
    <w:rsid w:val="002503E1"/>
    <w:rsid w:val="00254917"/>
    <w:rsid w:val="00254CA4"/>
    <w:rsid w:val="00293D92"/>
    <w:rsid w:val="002C3317"/>
    <w:rsid w:val="00301DF5"/>
    <w:rsid w:val="00312DF4"/>
    <w:rsid w:val="003306A3"/>
    <w:rsid w:val="003345DD"/>
    <w:rsid w:val="00340C04"/>
    <w:rsid w:val="003D59F7"/>
    <w:rsid w:val="003E2B55"/>
    <w:rsid w:val="004021C5"/>
    <w:rsid w:val="00421DE9"/>
    <w:rsid w:val="00427373"/>
    <w:rsid w:val="00432522"/>
    <w:rsid w:val="00434297"/>
    <w:rsid w:val="005053F4"/>
    <w:rsid w:val="005231B9"/>
    <w:rsid w:val="005365F5"/>
    <w:rsid w:val="00551C56"/>
    <w:rsid w:val="00593672"/>
    <w:rsid w:val="005A3535"/>
    <w:rsid w:val="005C41A8"/>
    <w:rsid w:val="005D52F4"/>
    <w:rsid w:val="005E2A9A"/>
    <w:rsid w:val="005E57D5"/>
    <w:rsid w:val="0060497C"/>
    <w:rsid w:val="00650545"/>
    <w:rsid w:val="00652D5E"/>
    <w:rsid w:val="00673A89"/>
    <w:rsid w:val="006A303F"/>
    <w:rsid w:val="006A4FCC"/>
    <w:rsid w:val="006C07AC"/>
    <w:rsid w:val="006D390D"/>
    <w:rsid w:val="007056AB"/>
    <w:rsid w:val="00724AE3"/>
    <w:rsid w:val="00742344"/>
    <w:rsid w:val="0074705F"/>
    <w:rsid w:val="007535C1"/>
    <w:rsid w:val="00770D52"/>
    <w:rsid w:val="007A0FD6"/>
    <w:rsid w:val="007B6D39"/>
    <w:rsid w:val="007C6B21"/>
    <w:rsid w:val="007D2EEF"/>
    <w:rsid w:val="007F25C8"/>
    <w:rsid w:val="0080347D"/>
    <w:rsid w:val="0081100F"/>
    <w:rsid w:val="00811AC1"/>
    <w:rsid w:val="00814C55"/>
    <w:rsid w:val="00845CB7"/>
    <w:rsid w:val="00884C9A"/>
    <w:rsid w:val="008A0ACA"/>
    <w:rsid w:val="008A5B98"/>
    <w:rsid w:val="008D5393"/>
    <w:rsid w:val="00911D72"/>
    <w:rsid w:val="009440DD"/>
    <w:rsid w:val="00976AE6"/>
    <w:rsid w:val="00994BA2"/>
    <w:rsid w:val="009A0F37"/>
    <w:rsid w:val="009C0D58"/>
    <w:rsid w:val="009C3D73"/>
    <w:rsid w:val="00A017DE"/>
    <w:rsid w:val="00A13A89"/>
    <w:rsid w:val="00A6439A"/>
    <w:rsid w:val="00A66BE3"/>
    <w:rsid w:val="00A818C5"/>
    <w:rsid w:val="00A82A06"/>
    <w:rsid w:val="00A8457C"/>
    <w:rsid w:val="00AD72BF"/>
    <w:rsid w:val="00AF2A05"/>
    <w:rsid w:val="00B112D8"/>
    <w:rsid w:val="00B51457"/>
    <w:rsid w:val="00B64B38"/>
    <w:rsid w:val="00B9463C"/>
    <w:rsid w:val="00BB3416"/>
    <w:rsid w:val="00BD61B1"/>
    <w:rsid w:val="00C2024B"/>
    <w:rsid w:val="00C220B5"/>
    <w:rsid w:val="00C60303"/>
    <w:rsid w:val="00C71C43"/>
    <w:rsid w:val="00C96512"/>
    <w:rsid w:val="00CB6B86"/>
    <w:rsid w:val="00CC7819"/>
    <w:rsid w:val="00CD129F"/>
    <w:rsid w:val="00CD53A8"/>
    <w:rsid w:val="00CF739C"/>
    <w:rsid w:val="00D31EA5"/>
    <w:rsid w:val="00D35688"/>
    <w:rsid w:val="00D46387"/>
    <w:rsid w:val="00DD19AC"/>
    <w:rsid w:val="00E10427"/>
    <w:rsid w:val="00E95134"/>
    <w:rsid w:val="00EB4C2D"/>
    <w:rsid w:val="00EC3A44"/>
    <w:rsid w:val="00F21ABE"/>
    <w:rsid w:val="00F275C8"/>
    <w:rsid w:val="00F504C1"/>
    <w:rsid w:val="00F93B79"/>
    <w:rsid w:val="00FA6B42"/>
    <w:rsid w:val="00FB5417"/>
    <w:rsid w:val="130240F6"/>
    <w:rsid w:val="14F80A20"/>
    <w:rsid w:val="1B6A60FA"/>
    <w:rsid w:val="21494A14"/>
    <w:rsid w:val="23FD54F7"/>
    <w:rsid w:val="2A814151"/>
    <w:rsid w:val="3AAF36D1"/>
    <w:rsid w:val="3B7B33EC"/>
    <w:rsid w:val="41B33AA7"/>
    <w:rsid w:val="4A056E6A"/>
    <w:rsid w:val="569E51A1"/>
    <w:rsid w:val="58493626"/>
    <w:rsid w:val="58F06F37"/>
    <w:rsid w:val="62320281"/>
    <w:rsid w:val="70F96E79"/>
    <w:rsid w:val="741E1C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64"/>
    <w:qFormat/>
    <w:uiPriority w:val="0"/>
    <w:pPr>
      <w:spacing w:before="340" w:after="330" w:line="360" w:lineRule="auto"/>
      <w:jc w:val="center"/>
      <w:outlineLvl w:val="0"/>
    </w:pPr>
    <w:rPr>
      <w:rFonts w:eastAsia="黑体"/>
      <w:kern w:val="44"/>
      <w:szCs w:val="44"/>
    </w:rPr>
  </w:style>
  <w:style w:type="paragraph" w:styleId="8">
    <w:name w:val="heading 2"/>
    <w:basedOn w:val="9"/>
    <w:next w:val="10"/>
    <w:link w:val="79"/>
    <w:qFormat/>
    <w:uiPriority w:val="0"/>
    <w:pPr>
      <w:adjustRightInd w:val="0"/>
      <w:jc w:val="center"/>
      <w:textAlignment w:val="baseline"/>
      <w:outlineLvl w:val="1"/>
    </w:pPr>
    <w:rPr>
      <w:kern w:val="0"/>
      <w:sz w:val="24"/>
      <w:szCs w:val="20"/>
    </w:rPr>
  </w:style>
  <w:style w:type="paragraph" w:styleId="9">
    <w:name w:val="heading 3"/>
    <w:basedOn w:val="10"/>
    <w:next w:val="1"/>
    <w:link w:val="63"/>
    <w:qFormat/>
    <w:uiPriority w:val="9"/>
    <w:pPr>
      <w:spacing w:before="260" w:after="260" w:line="240" w:lineRule="auto"/>
      <w:outlineLvl w:val="2"/>
    </w:pPr>
    <w:rPr>
      <w:rFonts w:ascii="宋体" w:hAnsi="宋体" w:eastAsia="宋体"/>
      <w:szCs w:val="32"/>
    </w:rPr>
  </w:style>
  <w:style w:type="paragraph" w:styleId="10">
    <w:name w:val="heading 4"/>
    <w:basedOn w:val="1"/>
    <w:next w:val="1"/>
    <w:link w:val="61"/>
    <w:qFormat/>
    <w:uiPriority w:val="9"/>
    <w:pPr>
      <w:keepNext/>
      <w:keepLines/>
      <w:spacing w:before="280" w:after="290" w:line="376" w:lineRule="auto"/>
      <w:outlineLvl w:val="3"/>
    </w:pPr>
    <w:rPr>
      <w:rFonts w:ascii="Arial" w:hAnsi="Arial" w:eastAsia="黑体"/>
      <w:b/>
      <w:bCs/>
      <w:sz w:val="28"/>
      <w:szCs w:val="28"/>
    </w:rPr>
  </w:style>
  <w:style w:type="paragraph" w:styleId="11">
    <w:name w:val="heading 5"/>
    <w:basedOn w:val="1"/>
    <w:next w:val="12"/>
    <w:link w:val="88"/>
    <w:qFormat/>
    <w:uiPriority w:val="0"/>
    <w:pPr>
      <w:keepNext/>
      <w:keepLines/>
      <w:spacing w:before="280" w:after="290" w:line="376" w:lineRule="auto"/>
      <w:outlineLvl w:val="4"/>
    </w:pPr>
    <w:rPr>
      <w:b/>
      <w:sz w:val="28"/>
      <w:szCs w:val="20"/>
    </w:rPr>
  </w:style>
  <w:style w:type="paragraph" w:styleId="13">
    <w:name w:val="heading 6"/>
    <w:basedOn w:val="1"/>
    <w:next w:val="12"/>
    <w:link w:val="91"/>
    <w:qFormat/>
    <w:uiPriority w:val="0"/>
    <w:pPr>
      <w:keepNext/>
      <w:keepLines/>
      <w:spacing w:before="240" w:after="64" w:line="320" w:lineRule="auto"/>
      <w:outlineLvl w:val="5"/>
    </w:pPr>
    <w:rPr>
      <w:rFonts w:ascii="Arial" w:hAnsi="Arial" w:eastAsia="黑体"/>
      <w:b/>
      <w:sz w:val="24"/>
      <w:szCs w:val="20"/>
    </w:rPr>
  </w:style>
  <w:style w:type="paragraph" w:styleId="14">
    <w:name w:val="heading 7"/>
    <w:basedOn w:val="1"/>
    <w:next w:val="12"/>
    <w:link w:val="92"/>
    <w:qFormat/>
    <w:uiPriority w:val="0"/>
    <w:pPr>
      <w:keepNext/>
      <w:keepLines/>
      <w:spacing w:before="240" w:after="64" w:line="320" w:lineRule="auto"/>
      <w:outlineLvl w:val="6"/>
    </w:pPr>
    <w:rPr>
      <w:b/>
      <w:sz w:val="24"/>
      <w:szCs w:val="20"/>
    </w:rPr>
  </w:style>
  <w:style w:type="paragraph" w:styleId="15">
    <w:name w:val="heading 8"/>
    <w:basedOn w:val="1"/>
    <w:next w:val="12"/>
    <w:link w:val="93"/>
    <w:qFormat/>
    <w:uiPriority w:val="0"/>
    <w:pPr>
      <w:keepNext/>
      <w:keepLines/>
      <w:spacing w:before="240" w:after="64" w:line="320" w:lineRule="auto"/>
      <w:outlineLvl w:val="7"/>
    </w:pPr>
    <w:rPr>
      <w:rFonts w:ascii="Arial" w:hAnsi="Arial" w:eastAsia="黑体"/>
      <w:sz w:val="24"/>
      <w:szCs w:val="20"/>
    </w:rPr>
  </w:style>
  <w:style w:type="paragraph" w:styleId="16">
    <w:name w:val="heading 9"/>
    <w:basedOn w:val="1"/>
    <w:next w:val="12"/>
    <w:link w:val="94"/>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spacing w:after="120"/>
      <w:ind w:left="200" w:leftChars="200"/>
    </w:pPr>
    <w:rPr>
      <w:rFonts w:ascii="Times New Roman" w:hAnsi="Times New Roman" w:eastAsia="宋体" w:cs="Times New Roman"/>
    </w:rPr>
  </w:style>
  <w:style w:type="paragraph" w:styleId="3">
    <w:name w:val="Body Text Indent"/>
    <w:basedOn w:val="1"/>
    <w:next w:val="4"/>
    <w:link w:val="87"/>
    <w:qFormat/>
    <w:uiPriority w:val="0"/>
    <w:pPr>
      <w:spacing w:line="360" w:lineRule="auto"/>
      <w:ind w:firstLine="420" w:firstLineChars="200"/>
    </w:pPr>
  </w:style>
  <w:style w:type="paragraph" w:styleId="4">
    <w:name w:val="envelope return"/>
    <w:basedOn w:val="1"/>
    <w:unhideWhenUsed/>
    <w:qFormat/>
    <w:uiPriority w:val="99"/>
    <w:pPr>
      <w:snapToGrid w:val="0"/>
    </w:pPr>
    <w:rPr>
      <w:rFonts w:ascii="Arial" w:hAnsi="Arial"/>
    </w:rPr>
  </w:style>
  <w:style w:type="paragraph" w:styleId="5">
    <w:name w:val="Body Text First Indent"/>
    <w:basedOn w:val="6"/>
    <w:link w:val="138"/>
    <w:qFormat/>
    <w:uiPriority w:val="0"/>
    <w:pPr>
      <w:spacing w:after="120" w:line="240" w:lineRule="auto"/>
      <w:ind w:firstLine="420" w:firstLineChars="100"/>
    </w:pPr>
    <w:rPr>
      <w:sz w:val="21"/>
    </w:rPr>
  </w:style>
  <w:style w:type="paragraph" w:styleId="6">
    <w:name w:val="Body Text"/>
    <w:basedOn w:val="1"/>
    <w:next w:val="1"/>
    <w:link w:val="100"/>
    <w:qFormat/>
    <w:uiPriority w:val="0"/>
    <w:pPr>
      <w:spacing w:line="360" w:lineRule="auto"/>
    </w:pPr>
    <w:rPr>
      <w:b/>
      <w:bCs/>
      <w:sz w:val="24"/>
    </w:rPr>
  </w:style>
  <w:style w:type="paragraph" w:styleId="12">
    <w:name w:val="Normal Indent"/>
    <w:basedOn w:val="1"/>
    <w:link w:val="65"/>
    <w:qFormat/>
    <w:uiPriority w:val="0"/>
    <w:pPr>
      <w:ind w:firstLine="420"/>
    </w:pPr>
    <w:rPr>
      <w:szCs w:val="20"/>
    </w:rPr>
  </w:style>
  <w:style w:type="paragraph" w:styleId="17">
    <w:name w:val="toc 7"/>
    <w:basedOn w:val="1"/>
    <w:next w:val="1"/>
    <w:semiHidden/>
    <w:qFormat/>
    <w:uiPriority w:val="0"/>
    <w:pPr>
      <w:ind w:left="1260"/>
      <w:jc w:val="left"/>
    </w:pPr>
    <w:rPr>
      <w:szCs w:val="21"/>
    </w:rPr>
  </w:style>
  <w:style w:type="paragraph" w:styleId="18">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9">
    <w:name w:val="List Bullet"/>
    <w:basedOn w:val="1"/>
    <w:qFormat/>
    <w:uiPriority w:val="0"/>
    <w:pPr>
      <w:numPr>
        <w:ilvl w:val="0"/>
        <w:numId w:val="1"/>
      </w:numPr>
    </w:pPr>
    <w:rPr>
      <w:szCs w:val="20"/>
    </w:rPr>
  </w:style>
  <w:style w:type="paragraph" w:styleId="20">
    <w:name w:val="Document Map"/>
    <w:basedOn w:val="1"/>
    <w:semiHidden/>
    <w:qFormat/>
    <w:uiPriority w:val="0"/>
    <w:pPr>
      <w:shd w:val="clear" w:color="auto" w:fill="000080"/>
    </w:pPr>
  </w:style>
  <w:style w:type="paragraph" w:styleId="21">
    <w:name w:val="annotation text"/>
    <w:basedOn w:val="1"/>
    <w:link w:val="192"/>
    <w:qFormat/>
    <w:uiPriority w:val="0"/>
    <w:pPr>
      <w:autoSpaceDE w:val="0"/>
      <w:autoSpaceDN w:val="0"/>
      <w:adjustRightInd w:val="0"/>
      <w:jc w:val="left"/>
      <w:textAlignment w:val="baseline"/>
    </w:pPr>
    <w:rPr>
      <w:rFonts w:ascii="宋体"/>
      <w:kern w:val="0"/>
      <w:sz w:val="34"/>
      <w:szCs w:val="20"/>
    </w:rPr>
  </w:style>
  <w:style w:type="paragraph" w:styleId="22">
    <w:name w:val="Body Text 3"/>
    <w:basedOn w:val="1"/>
    <w:link w:val="106"/>
    <w:qFormat/>
    <w:uiPriority w:val="0"/>
    <w:pPr>
      <w:spacing w:after="120"/>
    </w:pPr>
    <w:rPr>
      <w:sz w:val="16"/>
      <w:szCs w:val="16"/>
    </w:rPr>
  </w:style>
  <w:style w:type="paragraph" w:styleId="23">
    <w:name w:val="toc 5"/>
    <w:basedOn w:val="1"/>
    <w:next w:val="1"/>
    <w:semiHidden/>
    <w:qFormat/>
    <w:uiPriority w:val="0"/>
    <w:pPr>
      <w:ind w:left="840"/>
      <w:jc w:val="left"/>
    </w:pPr>
    <w:rPr>
      <w:szCs w:val="21"/>
    </w:rPr>
  </w:style>
  <w:style w:type="paragraph" w:styleId="24">
    <w:name w:val="toc 3"/>
    <w:basedOn w:val="1"/>
    <w:next w:val="1"/>
    <w:semiHidden/>
    <w:qFormat/>
    <w:uiPriority w:val="0"/>
    <w:pPr>
      <w:ind w:left="420"/>
      <w:jc w:val="left"/>
    </w:pPr>
    <w:rPr>
      <w:i/>
      <w:iCs/>
    </w:rPr>
  </w:style>
  <w:style w:type="paragraph" w:styleId="25">
    <w:name w:val="Plain Text"/>
    <w:basedOn w:val="1"/>
    <w:link w:val="98"/>
    <w:qFormat/>
    <w:uiPriority w:val="0"/>
    <w:rPr>
      <w:rFonts w:ascii="宋体" w:hAnsi="Courier New"/>
      <w:szCs w:val="20"/>
    </w:rPr>
  </w:style>
  <w:style w:type="paragraph" w:styleId="26">
    <w:name w:val="toc 8"/>
    <w:basedOn w:val="1"/>
    <w:next w:val="1"/>
    <w:semiHidden/>
    <w:qFormat/>
    <w:uiPriority w:val="0"/>
    <w:pPr>
      <w:ind w:left="1470"/>
      <w:jc w:val="left"/>
    </w:pPr>
    <w:rPr>
      <w:szCs w:val="21"/>
    </w:rPr>
  </w:style>
  <w:style w:type="paragraph" w:styleId="27">
    <w:name w:val="Date"/>
    <w:basedOn w:val="1"/>
    <w:next w:val="1"/>
    <w:link w:val="96"/>
    <w:qFormat/>
    <w:uiPriority w:val="0"/>
    <w:rPr>
      <w:rFonts w:ascii="宋体" w:hAnsi="Courier New"/>
      <w:sz w:val="32"/>
      <w:szCs w:val="20"/>
    </w:rPr>
  </w:style>
  <w:style w:type="paragraph" w:styleId="28">
    <w:name w:val="Body Text Indent 2"/>
    <w:basedOn w:val="1"/>
    <w:link w:val="101"/>
    <w:qFormat/>
    <w:uiPriority w:val="0"/>
    <w:pPr>
      <w:spacing w:beforeLines="50" w:afterLines="50" w:line="120" w:lineRule="auto"/>
      <w:ind w:firstLine="840" w:firstLineChars="400"/>
      <w:jc w:val="left"/>
    </w:pPr>
    <w:rPr>
      <w:rFonts w:ascii="宋体" w:hAnsi="宋体"/>
    </w:rPr>
  </w:style>
  <w:style w:type="paragraph" w:styleId="29">
    <w:name w:val="Balloon Text"/>
    <w:basedOn w:val="1"/>
    <w:link w:val="107"/>
    <w:semiHidden/>
    <w:qFormat/>
    <w:uiPriority w:val="99"/>
    <w:rPr>
      <w:sz w:val="18"/>
      <w:szCs w:val="18"/>
    </w:rPr>
  </w:style>
  <w:style w:type="paragraph" w:styleId="30">
    <w:name w:val="footer"/>
    <w:basedOn w:val="1"/>
    <w:link w:val="105"/>
    <w:qFormat/>
    <w:uiPriority w:val="0"/>
    <w:pPr>
      <w:tabs>
        <w:tab w:val="center" w:pos="4153"/>
        <w:tab w:val="right" w:pos="8306"/>
      </w:tabs>
      <w:snapToGrid w:val="0"/>
      <w:jc w:val="left"/>
    </w:pPr>
    <w:rPr>
      <w:sz w:val="18"/>
      <w:szCs w:val="18"/>
    </w:rPr>
  </w:style>
  <w:style w:type="paragraph" w:styleId="31">
    <w:name w:val="header"/>
    <w:basedOn w:val="1"/>
    <w:link w:val="102"/>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0"/>
    <w:pPr>
      <w:spacing w:before="120" w:after="120"/>
      <w:jc w:val="left"/>
    </w:pPr>
    <w:rPr>
      <w:b/>
      <w:bCs/>
      <w:caps/>
    </w:rPr>
  </w:style>
  <w:style w:type="paragraph" w:styleId="33">
    <w:name w:val="toc 4"/>
    <w:basedOn w:val="1"/>
    <w:next w:val="1"/>
    <w:semiHidden/>
    <w:qFormat/>
    <w:uiPriority w:val="0"/>
    <w:pPr>
      <w:ind w:left="630"/>
      <w:jc w:val="left"/>
    </w:pPr>
    <w:rPr>
      <w:szCs w:val="21"/>
    </w:rPr>
  </w:style>
  <w:style w:type="paragraph" w:styleId="34">
    <w:name w:val="toc 6"/>
    <w:basedOn w:val="1"/>
    <w:next w:val="1"/>
    <w:semiHidden/>
    <w:qFormat/>
    <w:uiPriority w:val="0"/>
    <w:pPr>
      <w:ind w:left="1050"/>
      <w:jc w:val="left"/>
    </w:pPr>
    <w:rPr>
      <w:szCs w:val="21"/>
    </w:rPr>
  </w:style>
  <w:style w:type="paragraph" w:styleId="35">
    <w:name w:val="Body Text Indent 3"/>
    <w:basedOn w:val="1"/>
    <w:link w:val="103"/>
    <w:qFormat/>
    <w:uiPriority w:val="0"/>
    <w:pPr>
      <w:spacing w:line="360" w:lineRule="auto"/>
      <w:ind w:firstLine="482" w:firstLineChars="200"/>
    </w:pPr>
    <w:rPr>
      <w:rFonts w:ascii="宋体"/>
      <w:b/>
      <w:bCs/>
      <w:sz w:val="24"/>
    </w:rPr>
  </w:style>
  <w:style w:type="paragraph" w:styleId="36">
    <w:name w:val="toc 2"/>
    <w:basedOn w:val="1"/>
    <w:next w:val="1"/>
    <w:semiHidden/>
    <w:qFormat/>
    <w:uiPriority w:val="0"/>
    <w:pPr>
      <w:tabs>
        <w:tab w:val="right" w:leader="dot" w:pos="8296"/>
      </w:tabs>
      <w:ind w:left="210"/>
      <w:jc w:val="left"/>
    </w:pPr>
    <w:rPr>
      <w:smallCaps/>
    </w:rPr>
  </w:style>
  <w:style w:type="paragraph" w:styleId="37">
    <w:name w:val="toc 9"/>
    <w:basedOn w:val="1"/>
    <w:next w:val="1"/>
    <w:semiHidden/>
    <w:qFormat/>
    <w:uiPriority w:val="0"/>
    <w:pPr>
      <w:ind w:left="1680"/>
      <w:jc w:val="left"/>
    </w:pPr>
    <w:rPr>
      <w:szCs w:val="21"/>
    </w:rPr>
  </w:style>
  <w:style w:type="paragraph" w:styleId="38">
    <w:name w:val="Body Text 2"/>
    <w:basedOn w:val="1"/>
    <w:link w:val="104"/>
    <w:qFormat/>
    <w:uiPriority w:val="0"/>
    <w:pPr>
      <w:spacing w:line="360" w:lineRule="auto"/>
    </w:pPr>
    <w:rPr>
      <w:sz w:val="24"/>
    </w:rPr>
  </w:style>
  <w:style w:type="paragraph" w:styleId="39">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0">
    <w:name w:val="Normal (Web)"/>
    <w:basedOn w:val="1"/>
    <w:link w:val="198"/>
    <w:qFormat/>
    <w:uiPriority w:val="99"/>
    <w:rPr>
      <w:sz w:val="24"/>
    </w:rPr>
  </w:style>
  <w:style w:type="paragraph" w:styleId="41">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2">
    <w:name w:val="Title"/>
    <w:basedOn w:val="1"/>
    <w:link w:val="95"/>
    <w:qFormat/>
    <w:uiPriority w:val="0"/>
    <w:pPr>
      <w:spacing w:before="240" w:after="60"/>
      <w:jc w:val="center"/>
      <w:outlineLvl w:val="0"/>
    </w:pPr>
    <w:rPr>
      <w:rFonts w:ascii="Arial" w:hAnsi="Arial" w:eastAsia="隶书" w:cs="Arial"/>
      <w:b/>
      <w:bCs/>
      <w:sz w:val="32"/>
      <w:szCs w:val="32"/>
    </w:rPr>
  </w:style>
  <w:style w:type="paragraph" w:styleId="43">
    <w:name w:val="annotation subject"/>
    <w:basedOn w:val="21"/>
    <w:next w:val="21"/>
    <w:link w:val="193"/>
    <w:qFormat/>
    <w:uiPriority w:val="99"/>
    <w:pPr>
      <w:autoSpaceDE/>
      <w:autoSpaceDN/>
      <w:adjustRightInd/>
      <w:textAlignment w:val="auto"/>
    </w:pPr>
    <w:rPr>
      <w:rFonts w:ascii="Times New Roman"/>
      <w:b/>
      <w:bCs/>
      <w:kern w:val="2"/>
      <w:sz w:val="21"/>
      <w:szCs w:val="24"/>
    </w:r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b/>
      <w:bCs/>
    </w:rPr>
  </w:style>
  <w:style w:type="character" w:styleId="51">
    <w:name w:val="HTML Definition"/>
    <w:basedOn w:val="46"/>
    <w:semiHidden/>
    <w:unhideWhenUsed/>
    <w:qFormat/>
    <w:uiPriority w:val="0"/>
  </w:style>
  <w:style w:type="character" w:styleId="52">
    <w:name w:val="HTML Typewriter"/>
    <w:basedOn w:val="46"/>
    <w:semiHidden/>
    <w:unhideWhenUsed/>
    <w:qFormat/>
    <w:uiPriority w:val="0"/>
    <w:rPr>
      <w:rFonts w:hint="default" w:ascii="monospace" w:hAnsi="monospace" w:eastAsia="monospace" w:cs="monospace"/>
      <w:sz w:val="20"/>
    </w:rPr>
  </w:style>
  <w:style w:type="character" w:styleId="53">
    <w:name w:val="HTML Acronym"/>
    <w:basedOn w:val="46"/>
    <w:semiHidden/>
    <w:unhideWhenUsed/>
    <w:qFormat/>
    <w:uiPriority w:val="0"/>
  </w:style>
  <w:style w:type="character" w:styleId="54">
    <w:name w:val="HTML Variable"/>
    <w:basedOn w:val="46"/>
    <w:semiHidden/>
    <w:unhideWhenUsed/>
    <w:qFormat/>
    <w:uiPriority w:val="0"/>
  </w:style>
  <w:style w:type="character" w:styleId="55">
    <w:name w:val="Hyperlink"/>
    <w:qFormat/>
    <w:uiPriority w:val="0"/>
    <w:rPr>
      <w:color w:val="0000FF"/>
      <w:u w:val="single"/>
    </w:rPr>
  </w:style>
  <w:style w:type="character" w:styleId="56">
    <w:name w:val="HTML Code"/>
    <w:basedOn w:val="46"/>
    <w:semiHidden/>
    <w:unhideWhenUsed/>
    <w:qFormat/>
    <w:uiPriority w:val="0"/>
    <w:rPr>
      <w:rFonts w:hint="default" w:ascii="monospace" w:hAnsi="monospace" w:eastAsia="monospace" w:cs="monospace"/>
      <w:sz w:val="20"/>
    </w:rPr>
  </w:style>
  <w:style w:type="character" w:styleId="57">
    <w:name w:val="annotation reference"/>
    <w:basedOn w:val="46"/>
    <w:qFormat/>
    <w:uiPriority w:val="99"/>
    <w:rPr>
      <w:sz w:val="21"/>
      <w:szCs w:val="21"/>
    </w:rPr>
  </w:style>
  <w:style w:type="character" w:styleId="58">
    <w:name w:val="HTML Cite"/>
    <w:basedOn w:val="46"/>
    <w:semiHidden/>
    <w:unhideWhenUsed/>
    <w:qFormat/>
    <w:uiPriority w:val="0"/>
  </w:style>
  <w:style w:type="character" w:styleId="59">
    <w:name w:val="HTML Keyboard"/>
    <w:basedOn w:val="46"/>
    <w:semiHidden/>
    <w:unhideWhenUsed/>
    <w:qFormat/>
    <w:uiPriority w:val="0"/>
    <w:rPr>
      <w:rFonts w:hint="default" w:ascii="monospace" w:hAnsi="monospace" w:eastAsia="monospace" w:cs="monospace"/>
      <w:sz w:val="20"/>
    </w:rPr>
  </w:style>
  <w:style w:type="character" w:styleId="60">
    <w:name w:val="HTML Sample"/>
    <w:basedOn w:val="46"/>
    <w:semiHidden/>
    <w:unhideWhenUsed/>
    <w:qFormat/>
    <w:uiPriority w:val="0"/>
    <w:rPr>
      <w:rFonts w:ascii="monospace" w:hAnsi="monospace" w:eastAsia="monospace" w:cs="monospace"/>
    </w:rPr>
  </w:style>
  <w:style w:type="character" w:customStyle="1" w:styleId="61">
    <w:name w:val="标题 4 字符"/>
    <w:link w:val="10"/>
    <w:qFormat/>
    <w:uiPriority w:val="9"/>
    <w:rPr>
      <w:rFonts w:ascii="Arial" w:hAnsi="Arial" w:eastAsia="黑体"/>
      <w:b/>
      <w:bCs/>
      <w:kern w:val="2"/>
      <w:sz w:val="28"/>
      <w:szCs w:val="28"/>
      <w:lang w:val="en-US" w:eastAsia="zh-CN" w:bidi="ar-SA"/>
    </w:rPr>
  </w:style>
  <w:style w:type="paragraph" w:customStyle="1" w:styleId="6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3">
    <w:name w:val="标题 3 字符"/>
    <w:link w:val="9"/>
    <w:qFormat/>
    <w:uiPriority w:val="9"/>
    <w:rPr>
      <w:rFonts w:ascii="宋体" w:hAnsi="宋体" w:eastAsia="宋体"/>
      <w:b/>
      <w:bCs/>
      <w:kern w:val="2"/>
      <w:sz w:val="28"/>
      <w:szCs w:val="32"/>
      <w:lang w:val="en-US" w:eastAsia="zh-CN" w:bidi="ar-SA"/>
    </w:rPr>
  </w:style>
  <w:style w:type="character" w:customStyle="1" w:styleId="64">
    <w:name w:val="标题 1 字符"/>
    <w:link w:val="7"/>
    <w:qFormat/>
    <w:uiPriority w:val="0"/>
    <w:rPr>
      <w:rFonts w:ascii="宋体" w:hAnsi="宋体" w:eastAsia="黑体"/>
      <w:b/>
      <w:bCs/>
      <w:kern w:val="44"/>
      <w:sz w:val="28"/>
      <w:szCs w:val="44"/>
      <w:lang w:val="en-US" w:eastAsia="zh-CN" w:bidi="ar-SA"/>
    </w:rPr>
  </w:style>
  <w:style w:type="character" w:customStyle="1" w:styleId="65">
    <w:name w:val="正文缩进 字符"/>
    <w:link w:val="12"/>
    <w:qFormat/>
    <w:uiPriority w:val="0"/>
    <w:rPr>
      <w:rFonts w:eastAsia="宋体"/>
      <w:kern w:val="2"/>
      <w:sz w:val="21"/>
      <w:lang w:val="en-US" w:eastAsia="zh-CN" w:bidi="ar-SA"/>
    </w:rPr>
  </w:style>
  <w:style w:type="character" w:customStyle="1" w:styleId="66">
    <w:name w:val="标题 3 Char"/>
    <w:qFormat/>
    <w:uiPriority w:val="0"/>
    <w:rPr>
      <w:rFonts w:ascii="黑体" w:eastAsia="黑体"/>
      <w:bCs/>
      <w:sz w:val="30"/>
    </w:rPr>
  </w:style>
  <w:style w:type="paragraph" w:customStyle="1" w:styleId="6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7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4">
    <w:name w:val="自定义正文"/>
    <w:basedOn w:val="1"/>
    <w:qFormat/>
    <w:uiPriority w:val="0"/>
    <w:pPr>
      <w:spacing w:afterLines="50"/>
      <w:ind w:left="600" w:leftChars="600"/>
    </w:pPr>
  </w:style>
  <w:style w:type="paragraph" w:customStyle="1" w:styleId="75">
    <w:name w:val="Char Char Char Char Char"/>
    <w:basedOn w:val="1"/>
    <w:qFormat/>
    <w:uiPriority w:val="0"/>
    <w:rPr>
      <w:rFonts w:ascii="Tahoma" w:hAnsi="Tahoma"/>
      <w:sz w:val="24"/>
      <w:szCs w:val="20"/>
    </w:rPr>
  </w:style>
  <w:style w:type="paragraph" w:customStyle="1" w:styleId="7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7">
    <w:name w:val="Char Char"/>
    <w:basedOn w:val="1"/>
    <w:qFormat/>
    <w:uiPriority w:val="0"/>
    <w:rPr>
      <w:rFonts w:ascii="Tahoma" w:hAnsi="Tahoma"/>
      <w:sz w:val="24"/>
      <w:szCs w:val="20"/>
    </w:rPr>
  </w:style>
  <w:style w:type="paragraph" w:customStyle="1" w:styleId="7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9">
    <w:name w:val="标题 2 字符"/>
    <w:link w:val="8"/>
    <w:qFormat/>
    <w:uiPriority w:val="0"/>
    <w:rPr>
      <w:rFonts w:ascii="宋体" w:hAnsi="宋体" w:eastAsia="宋体"/>
      <w:b/>
      <w:bCs/>
      <w:sz w:val="24"/>
      <w:lang w:val="en-US" w:eastAsia="zh-CN" w:bidi="ar-SA"/>
    </w:rPr>
  </w:style>
  <w:style w:type="paragraph" w:customStyle="1" w:styleId="8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1">
    <w:name w:val="List Paragraph"/>
    <w:basedOn w:val="1"/>
    <w:qFormat/>
    <w:uiPriority w:val="34"/>
    <w:pPr>
      <w:ind w:firstLine="420" w:firstLineChars="200"/>
    </w:pPr>
    <w:rPr>
      <w:rFonts w:ascii="Calibri" w:hAnsi="Calibri"/>
      <w:szCs w:val="22"/>
    </w:rPr>
  </w:style>
  <w:style w:type="paragraph" w:customStyle="1" w:styleId="82">
    <w:name w:val="USE 1"/>
    <w:basedOn w:val="1"/>
    <w:qFormat/>
    <w:uiPriority w:val="0"/>
    <w:pPr>
      <w:spacing w:line="200" w:lineRule="atLeast"/>
      <w:jc w:val="left"/>
    </w:pPr>
    <w:rPr>
      <w:rFonts w:ascii="宋体" w:hAnsi="宋体"/>
      <w:b/>
      <w:sz w:val="24"/>
      <w:szCs w:val="28"/>
    </w:rPr>
  </w:style>
  <w:style w:type="paragraph" w:customStyle="1" w:styleId="8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4">
    <w:name w:val="正文文字缩进项目"/>
    <w:basedOn w:val="3"/>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5">
    <w:name w:val="样式 标题 2 + 段前: 13 磅 段后: 13 磅 行距: 单倍行距"/>
    <w:basedOn w:val="8"/>
    <w:qFormat/>
    <w:uiPriority w:val="0"/>
    <w:pPr>
      <w:adjustRightInd/>
      <w:spacing w:before="0" w:after="0"/>
      <w:jc w:val="both"/>
      <w:textAlignment w:val="auto"/>
    </w:pPr>
    <w:rPr>
      <w:rFonts w:ascii="Cambria" w:hAnsi="Cambria" w:cs="宋体"/>
      <w:kern w:val="2"/>
      <w:sz w:val="32"/>
    </w:rPr>
  </w:style>
  <w:style w:type="character" w:customStyle="1" w:styleId="86">
    <w:name w:val="H4 Char2"/>
    <w:qFormat/>
    <w:uiPriority w:val="0"/>
    <w:rPr>
      <w:rFonts w:ascii="Arial" w:hAnsi="Arial" w:eastAsia="黑体"/>
      <w:b/>
      <w:bCs/>
      <w:kern w:val="2"/>
      <w:sz w:val="28"/>
      <w:szCs w:val="28"/>
      <w:lang w:val="en-US" w:eastAsia="zh-CN" w:bidi="ar-SA"/>
    </w:rPr>
  </w:style>
  <w:style w:type="character" w:customStyle="1" w:styleId="87">
    <w:name w:val="正文文本缩进 字符"/>
    <w:link w:val="3"/>
    <w:qFormat/>
    <w:uiPriority w:val="0"/>
    <w:rPr>
      <w:rFonts w:eastAsia="宋体"/>
      <w:kern w:val="2"/>
      <w:sz w:val="21"/>
      <w:szCs w:val="24"/>
      <w:lang w:val="en-US" w:eastAsia="zh-CN" w:bidi="ar-SA"/>
    </w:rPr>
  </w:style>
  <w:style w:type="character" w:customStyle="1" w:styleId="88">
    <w:name w:val="标题 5 字符"/>
    <w:link w:val="11"/>
    <w:qFormat/>
    <w:uiPriority w:val="0"/>
    <w:rPr>
      <w:rFonts w:eastAsia="宋体"/>
      <w:b/>
      <w:kern w:val="2"/>
      <w:sz w:val="28"/>
      <w:lang w:val="en-US" w:eastAsia="zh-CN" w:bidi="ar-SA"/>
    </w:rPr>
  </w:style>
  <w:style w:type="character" w:customStyle="1" w:styleId="89">
    <w:name w:val="第*章 Char"/>
    <w:qFormat/>
    <w:uiPriority w:val="0"/>
    <w:rPr>
      <w:rFonts w:ascii="Arial" w:hAnsi="Arial" w:eastAsia="黑体"/>
      <w:b/>
      <w:bCs/>
      <w:kern w:val="2"/>
      <w:sz w:val="32"/>
      <w:szCs w:val="32"/>
    </w:rPr>
  </w:style>
  <w:style w:type="character" w:customStyle="1" w:styleId="90">
    <w:name w:val="章标题1 Char"/>
    <w:qFormat/>
    <w:uiPriority w:val="0"/>
    <w:rPr>
      <w:rFonts w:eastAsia="宋体"/>
      <w:b/>
      <w:bCs/>
      <w:kern w:val="2"/>
      <w:sz w:val="32"/>
      <w:szCs w:val="32"/>
      <w:lang w:val="en-US" w:eastAsia="zh-CN" w:bidi="ar-SA"/>
    </w:rPr>
  </w:style>
  <w:style w:type="character" w:customStyle="1" w:styleId="91">
    <w:name w:val="标题 6 字符"/>
    <w:link w:val="13"/>
    <w:qFormat/>
    <w:uiPriority w:val="0"/>
    <w:rPr>
      <w:rFonts w:ascii="Arial" w:hAnsi="Arial" w:eastAsia="黑体"/>
      <w:b/>
      <w:kern w:val="2"/>
      <w:sz w:val="24"/>
      <w:lang w:val="en-US" w:eastAsia="zh-CN" w:bidi="ar-SA"/>
    </w:rPr>
  </w:style>
  <w:style w:type="character" w:customStyle="1" w:styleId="92">
    <w:name w:val="标题 7 字符"/>
    <w:link w:val="14"/>
    <w:qFormat/>
    <w:uiPriority w:val="0"/>
    <w:rPr>
      <w:rFonts w:eastAsia="宋体"/>
      <w:b/>
      <w:kern w:val="2"/>
      <w:sz w:val="24"/>
      <w:lang w:val="en-US" w:eastAsia="zh-CN" w:bidi="ar-SA"/>
    </w:rPr>
  </w:style>
  <w:style w:type="character" w:customStyle="1" w:styleId="93">
    <w:name w:val="标题 8 字符"/>
    <w:link w:val="15"/>
    <w:qFormat/>
    <w:uiPriority w:val="0"/>
    <w:rPr>
      <w:rFonts w:ascii="Arial" w:hAnsi="Arial" w:eastAsia="黑体"/>
      <w:kern w:val="2"/>
      <w:sz w:val="24"/>
      <w:lang w:val="en-US" w:eastAsia="zh-CN" w:bidi="ar-SA"/>
    </w:rPr>
  </w:style>
  <w:style w:type="character" w:customStyle="1" w:styleId="94">
    <w:name w:val="标题 9 字符"/>
    <w:link w:val="16"/>
    <w:qFormat/>
    <w:uiPriority w:val="0"/>
    <w:rPr>
      <w:rFonts w:ascii="Arial" w:hAnsi="Arial" w:eastAsia="黑体"/>
      <w:kern w:val="2"/>
      <w:sz w:val="21"/>
      <w:lang w:val="en-US" w:eastAsia="zh-CN" w:bidi="ar-SA"/>
    </w:rPr>
  </w:style>
  <w:style w:type="character" w:customStyle="1" w:styleId="95">
    <w:name w:val="标题 字符"/>
    <w:link w:val="42"/>
    <w:qFormat/>
    <w:uiPriority w:val="0"/>
    <w:rPr>
      <w:rFonts w:ascii="Arial" w:hAnsi="Arial" w:eastAsia="隶书" w:cs="Arial"/>
      <w:b/>
      <w:bCs/>
      <w:kern w:val="2"/>
      <w:sz w:val="32"/>
      <w:szCs w:val="32"/>
      <w:lang w:val="en-US" w:eastAsia="zh-CN" w:bidi="ar-SA"/>
    </w:rPr>
  </w:style>
  <w:style w:type="character" w:customStyle="1" w:styleId="96">
    <w:name w:val="日期 字符"/>
    <w:link w:val="27"/>
    <w:qFormat/>
    <w:uiPriority w:val="0"/>
    <w:rPr>
      <w:rFonts w:ascii="宋体" w:hAnsi="Courier New" w:eastAsia="宋体"/>
      <w:kern w:val="2"/>
      <w:sz w:val="32"/>
      <w:lang w:val="en-US" w:eastAsia="zh-CN" w:bidi="ar-SA"/>
    </w:rPr>
  </w:style>
  <w:style w:type="character" w:customStyle="1" w:styleId="97">
    <w:name w:val="HTML 预设格式 字符"/>
    <w:link w:val="39"/>
    <w:qFormat/>
    <w:uiPriority w:val="0"/>
    <w:rPr>
      <w:rFonts w:ascii="Arial Unicode MS" w:hAnsi="Arial Unicode MS" w:eastAsia="Arial Unicode MS"/>
      <w:color w:val="000000"/>
      <w:lang w:val="en-US" w:eastAsia="zh-CN" w:bidi="ar-SA"/>
    </w:rPr>
  </w:style>
  <w:style w:type="character" w:customStyle="1" w:styleId="98">
    <w:name w:val="纯文本 字符"/>
    <w:link w:val="25"/>
    <w:qFormat/>
    <w:uiPriority w:val="0"/>
    <w:rPr>
      <w:rFonts w:ascii="宋体" w:hAnsi="Courier New" w:eastAsia="宋体"/>
      <w:kern w:val="2"/>
      <w:sz w:val="21"/>
      <w:lang w:val="en-US" w:eastAsia="zh-CN" w:bidi="ar-SA"/>
    </w:rPr>
  </w:style>
  <w:style w:type="character" w:customStyle="1" w:styleId="99">
    <w:name w:val="正文文字首行缩进 Char"/>
    <w:qFormat/>
    <w:uiPriority w:val="0"/>
    <w:rPr>
      <w:kern w:val="2"/>
      <w:sz w:val="21"/>
      <w:szCs w:val="24"/>
    </w:rPr>
  </w:style>
  <w:style w:type="character" w:customStyle="1" w:styleId="100">
    <w:name w:val="正文文本 字符"/>
    <w:link w:val="6"/>
    <w:qFormat/>
    <w:uiPriority w:val="0"/>
    <w:rPr>
      <w:rFonts w:eastAsia="宋体"/>
      <w:b/>
      <w:bCs/>
      <w:kern w:val="2"/>
      <w:sz w:val="24"/>
      <w:szCs w:val="24"/>
      <w:lang w:val="en-US" w:eastAsia="zh-CN" w:bidi="ar-SA"/>
    </w:rPr>
  </w:style>
  <w:style w:type="character" w:customStyle="1" w:styleId="101">
    <w:name w:val="正文文本缩进 2 字符"/>
    <w:link w:val="28"/>
    <w:qFormat/>
    <w:uiPriority w:val="0"/>
    <w:rPr>
      <w:rFonts w:ascii="宋体" w:hAnsi="宋体" w:eastAsia="宋体"/>
      <w:kern w:val="2"/>
      <w:sz w:val="21"/>
      <w:szCs w:val="24"/>
      <w:lang w:val="en-US" w:eastAsia="zh-CN" w:bidi="ar-SA"/>
    </w:rPr>
  </w:style>
  <w:style w:type="character" w:customStyle="1" w:styleId="102">
    <w:name w:val="页眉 字符"/>
    <w:link w:val="31"/>
    <w:qFormat/>
    <w:uiPriority w:val="99"/>
    <w:rPr>
      <w:rFonts w:eastAsia="宋体"/>
      <w:kern w:val="2"/>
      <w:sz w:val="18"/>
      <w:szCs w:val="18"/>
      <w:lang w:val="en-US" w:eastAsia="zh-CN" w:bidi="ar-SA"/>
    </w:rPr>
  </w:style>
  <w:style w:type="character" w:customStyle="1" w:styleId="103">
    <w:name w:val="正文文本缩进 3 字符"/>
    <w:link w:val="35"/>
    <w:qFormat/>
    <w:uiPriority w:val="0"/>
    <w:rPr>
      <w:rFonts w:ascii="宋体" w:eastAsia="宋体"/>
      <w:b/>
      <w:bCs/>
      <w:kern w:val="2"/>
      <w:sz w:val="24"/>
      <w:szCs w:val="24"/>
      <w:lang w:val="en-US" w:eastAsia="zh-CN" w:bidi="ar-SA"/>
    </w:rPr>
  </w:style>
  <w:style w:type="character" w:customStyle="1" w:styleId="104">
    <w:name w:val="正文文本 2 字符"/>
    <w:link w:val="38"/>
    <w:qFormat/>
    <w:uiPriority w:val="0"/>
    <w:rPr>
      <w:rFonts w:eastAsia="宋体"/>
      <w:kern w:val="2"/>
      <w:sz w:val="24"/>
      <w:szCs w:val="24"/>
      <w:lang w:val="en-US" w:eastAsia="zh-CN" w:bidi="ar-SA"/>
    </w:rPr>
  </w:style>
  <w:style w:type="character" w:customStyle="1" w:styleId="105">
    <w:name w:val="页脚 字符"/>
    <w:link w:val="30"/>
    <w:qFormat/>
    <w:uiPriority w:val="0"/>
    <w:rPr>
      <w:rFonts w:eastAsia="宋体"/>
      <w:kern w:val="2"/>
      <w:sz w:val="18"/>
      <w:szCs w:val="18"/>
      <w:lang w:val="en-US" w:eastAsia="zh-CN" w:bidi="ar-SA"/>
    </w:rPr>
  </w:style>
  <w:style w:type="character" w:customStyle="1" w:styleId="106">
    <w:name w:val="正文文本 3 字符"/>
    <w:link w:val="22"/>
    <w:qFormat/>
    <w:uiPriority w:val="0"/>
    <w:rPr>
      <w:rFonts w:eastAsia="宋体"/>
      <w:kern w:val="2"/>
      <w:sz w:val="16"/>
      <w:szCs w:val="16"/>
      <w:lang w:val="en-US" w:eastAsia="zh-CN" w:bidi="ar-SA"/>
    </w:rPr>
  </w:style>
  <w:style w:type="character" w:customStyle="1" w:styleId="107">
    <w:name w:val="批注框文本 字符"/>
    <w:link w:val="29"/>
    <w:semiHidden/>
    <w:qFormat/>
    <w:uiPriority w:val="99"/>
    <w:rPr>
      <w:rFonts w:eastAsia="宋体"/>
      <w:kern w:val="2"/>
      <w:sz w:val="18"/>
      <w:szCs w:val="18"/>
      <w:lang w:val="en-US" w:eastAsia="zh-CN" w:bidi="ar-SA"/>
    </w:rPr>
  </w:style>
  <w:style w:type="paragraph" w:customStyle="1" w:styleId="108">
    <w:name w:val="样式1"/>
    <w:basedOn w:val="42"/>
    <w:qFormat/>
    <w:uiPriority w:val="0"/>
    <w:pPr>
      <w:spacing w:before="120" w:after="120"/>
    </w:pPr>
    <w:rPr>
      <w:rFonts w:eastAsia="黑体"/>
      <w:b w:val="0"/>
      <w:sz w:val="30"/>
      <w:szCs w:val="21"/>
    </w:rPr>
  </w:style>
  <w:style w:type="paragraph" w:customStyle="1" w:styleId="109">
    <w:name w:val="样式2"/>
    <w:basedOn w:val="42"/>
    <w:next w:val="108"/>
    <w:qFormat/>
    <w:uiPriority w:val="0"/>
    <w:pPr>
      <w:spacing w:before="120" w:after="120"/>
    </w:pPr>
    <w:rPr>
      <w:rFonts w:eastAsia="黑体"/>
      <w:b w:val="0"/>
      <w:sz w:val="30"/>
      <w:szCs w:val="30"/>
    </w:rPr>
  </w:style>
  <w:style w:type="character" w:customStyle="1" w:styleId="110">
    <w:name w:val="标题 3 Char Char"/>
    <w:qFormat/>
    <w:uiPriority w:val="0"/>
    <w:rPr>
      <w:rFonts w:eastAsia="宋体"/>
      <w:b/>
      <w:bCs/>
      <w:kern w:val="2"/>
      <w:sz w:val="32"/>
      <w:szCs w:val="32"/>
      <w:lang w:val="en-US" w:eastAsia="zh-CN" w:bidi="ar-SA"/>
    </w:rPr>
  </w:style>
  <w:style w:type="paragraph" w:customStyle="1" w:styleId="11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3">
    <w:name w:val="--规划正文"/>
    <w:basedOn w:val="1"/>
    <w:qFormat/>
    <w:uiPriority w:val="0"/>
    <w:pPr>
      <w:spacing w:line="360" w:lineRule="auto"/>
      <w:ind w:firstLine="200" w:firstLineChars="200"/>
    </w:pPr>
    <w:rPr>
      <w:szCs w:val="20"/>
    </w:rPr>
  </w:style>
  <w:style w:type="paragraph" w:customStyle="1" w:styleId="114">
    <w:name w:val="设计依据"/>
    <w:basedOn w:val="6"/>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6">
    <w:name w:val="样式4"/>
    <w:basedOn w:val="1"/>
    <w:qFormat/>
    <w:uiPriority w:val="0"/>
    <w:pPr>
      <w:tabs>
        <w:tab w:val="left" w:pos="842"/>
      </w:tabs>
      <w:spacing w:line="360" w:lineRule="auto"/>
      <w:ind w:left="842" w:hanging="420"/>
    </w:pPr>
    <w:rPr>
      <w:sz w:val="24"/>
    </w:rPr>
  </w:style>
  <w:style w:type="paragraph" w:customStyle="1" w:styleId="117">
    <w:name w:val="文字"/>
    <w:basedOn w:val="1"/>
    <w:qFormat/>
    <w:uiPriority w:val="0"/>
    <w:pPr>
      <w:tabs>
        <w:tab w:val="left" w:pos="8520"/>
      </w:tabs>
      <w:spacing w:line="312" w:lineRule="auto"/>
      <w:ind w:right="-210" w:firstLine="556"/>
    </w:pPr>
    <w:rPr>
      <w:rFonts w:ascii="宋体"/>
      <w:sz w:val="28"/>
      <w:szCs w:val="20"/>
    </w:rPr>
  </w:style>
  <w:style w:type="paragraph" w:customStyle="1" w:styleId="118">
    <w:name w:val="--规划-表格-居左"/>
    <w:basedOn w:val="113"/>
    <w:qFormat/>
    <w:uiPriority w:val="0"/>
    <w:pPr>
      <w:spacing w:line="240" w:lineRule="auto"/>
      <w:ind w:firstLine="0" w:firstLineChars="0"/>
    </w:pPr>
    <w:rPr>
      <w:sz w:val="20"/>
    </w:rPr>
  </w:style>
  <w:style w:type="paragraph" w:customStyle="1" w:styleId="119">
    <w:name w:val="--规划-表格-居中"/>
    <w:basedOn w:val="113"/>
    <w:qFormat/>
    <w:uiPriority w:val="0"/>
    <w:pPr>
      <w:spacing w:line="240" w:lineRule="auto"/>
      <w:ind w:firstLine="0" w:firstLineChars="0"/>
      <w:jc w:val="center"/>
    </w:pPr>
    <w:rPr>
      <w:sz w:val="20"/>
    </w:rPr>
  </w:style>
  <w:style w:type="paragraph" w:customStyle="1" w:styleId="120">
    <w:name w:val="--编号内缩进"/>
    <w:basedOn w:val="1"/>
    <w:qFormat/>
    <w:uiPriority w:val="0"/>
    <w:pPr>
      <w:spacing w:line="360" w:lineRule="auto"/>
      <w:ind w:left="420" w:firstLine="200" w:firstLineChars="200"/>
    </w:pPr>
    <w:rPr>
      <w:szCs w:val="21"/>
    </w:rPr>
  </w:style>
  <w:style w:type="paragraph" w:customStyle="1" w:styleId="121">
    <w:name w:val="--规划-题注"/>
    <w:basedOn w:val="1"/>
    <w:next w:val="113"/>
    <w:qFormat/>
    <w:uiPriority w:val="0"/>
    <w:pPr>
      <w:spacing w:line="360" w:lineRule="auto"/>
      <w:jc w:val="center"/>
    </w:pPr>
    <w:rPr>
      <w:rFonts w:eastAsia="黑体"/>
    </w:rPr>
  </w:style>
  <w:style w:type="paragraph" w:customStyle="1" w:styleId="122">
    <w:name w:val="--规划-图和表"/>
    <w:next w:val="113"/>
    <w:qFormat/>
    <w:uiPriority w:val="0"/>
    <w:pPr>
      <w:jc w:val="center"/>
    </w:pPr>
    <w:rPr>
      <w:rFonts w:ascii="Times New Roman" w:hAnsi="Times New Roman" w:eastAsia="宋体" w:cs="Times New Roman"/>
      <w:kern w:val="2"/>
      <w:sz w:val="21"/>
      <w:lang w:val="en-US" w:eastAsia="zh-CN" w:bidi="ar-SA"/>
    </w:rPr>
  </w:style>
  <w:style w:type="paragraph" w:customStyle="1" w:styleId="123">
    <w:name w:val="--规划-小标题"/>
    <w:basedOn w:val="1"/>
    <w:next w:val="113"/>
    <w:qFormat/>
    <w:uiPriority w:val="0"/>
    <w:pPr>
      <w:keepNext/>
      <w:keepLines/>
      <w:spacing w:line="360" w:lineRule="auto"/>
      <w:outlineLvl w:val="4"/>
    </w:pPr>
    <w:rPr>
      <w:rFonts w:eastAsia="黑体"/>
    </w:rPr>
  </w:style>
  <w:style w:type="paragraph" w:customStyle="1" w:styleId="124">
    <w:name w:val="--规划正文 Char"/>
    <w:basedOn w:val="1"/>
    <w:qFormat/>
    <w:uiPriority w:val="0"/>
    <w:pPr>
      <w:spacing w:line="360" w:lineRule="auto"/>
      <w:ind w:firstLine="200" w:firstLineChars="200"/>
    </w:pPr>
    <w:rPr>
      <w:sz w:val="24"/>
    </w:rPr>
  </w:style>
  <w:style w:type="paragraph" w:customStyle="1" w:styleId="125">
    <w:name w:val="缺省文本"/>
    <w:basedOn w:val="1"/>
    <w:qFormat/>
    <w:uiPriority w:val="0"/>
    <w:pPr>
      <w:autoSpaceDE w:val="0"/>
      <w:autoSpaceDN w:val="0"/>
      <w:adjustRightInd w:val="0"/>
      <w:jc w:val="left"/>
    </w:pPr>
    <w:rPr>
      <w:kern w:val="0"/>
    </w:rPr>
  </w:style>
  <w:style w:type="paragraph" w:customStyle="1" w:styleId="12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7">
    <w:name w:val="--规划正文 Char Char"/>
    <w:qFormat/>
    <w:uiPriority w:val="0"/>
    <w:rPr>
      <w:rFonts w:eastAsia="宋体"/>
      <w:kern w:val="2"/>
      <w:sz w:val="24"/>
      <w:szCs w:val="24"/>
      <w:lang w:val="en-US" w:eastAsia="zh-CN" w:bidi="ar-SA"/>
    </w:rPr>
  </w:style>
  <w:style w:type="paragraph" w:customStyle="1" w:styleId="128">
    <w:name w:val="样式3"/>
    <w:basedOn w:val="7"/>
    <w:qFormat/>
    <w:uiPriority w:val="0"/>
    <w:pPr>
      <w:numPr>
        <w:ilvl w:val="0"/>
        <w:numId w:val="5"/>
      </w:numPr>
      <w:spacing w:before="240" w:after="240" w:line="480" w:lineRule="auto"/>
      <w:ind w:right="210" w:rightChars="100"/>
      <w:jc w:val="left"/>
    </w:pPr>
    <w:rPr>
      <w:sz w:val="32"/>
    </w:rPr>
  </w:style>
  <w:style w:type="character" w:customStyle="1" w:styleId="129">
    <w:name w:val="--规划正文 Char1"/>
    <w:qFormat/>
    <w:uiPriority w:val="0"/>
    <w:rPr>
      <w:rFonts w:eastAsia="宋体"/>
      <w:kern w:val="2"/>
      <w:sz w:val="21"/>
      <w:lang w:val="en-US" w:eastAsia="zh-CN" w:bidi="ar-SA"/>
    </w:rPr>
  </w:style>
  <w:style w:type="paragraph" w:customStyle="1" w:styleId="13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1">
    <w:name w:val="列表项目"/>
    <w:basedOn w:val="1"/>
    <w:qFormat/>
    <w:uiPriority w:val="0"/>
    <w:pPr>
      <w:tabs>
        <w:tab w:val="left" w:pos="420"/>
        <w:tab w:val="left" w:pos="1080"/>
      </w:tabs>
      <w:spacing w:line="288" w:lineRule="auto"/>
      <w:ind w:left="1080" w:hanging="360"/>
    </w:pPr>
    <w:rPr>
      <w:sz w:val="24"/>
      <w:szCs w:val="20"/>
    </w:rPr>
  </w:style>
  <w:style w:type="character" w:customStyle="1" w:styleId="132">
    <w:name w:val="content1"/>
    <w:qFormat/>
    <w:uiPriority w:val="0"/>
    <w:rPr>
      <w:rFonts w:hint="default" w:ascii="??" w:hAnsi="??"/>
      <w:sz w:val="16"/>
      <w:szCs w:val="16"/>
      <w:u w:val="none"/>
    </w:rPr>
  </w:style>
  <w:style w:type="character" w:customStyle="1" w:styleId="133">
    <w:name w:val="unnamed4"/>
    <w:basedOn w:val="46"/>
    <w:qFormat/>
    <w:uiPriority w:val="0"/>
  </w:style>
  <w:style w:type="character" w:customStyle="1" w:styleId="134">
    <w:name w:val="font2"/>
    <w:basedOn w:val="46"/>
    <w:qFormat/>
    <w:uiPriority w:val="0"/>
  </w:style>
  <w:style w:type="character" w:customStyle="1" w:styleId="135">
    <w:name w:val="font41"/>
    <w:qFormat/>
    <w:uiPriority w:val="0"/>
    <w:rPr>
      <w:color w:val="000000"/>
      <w:spacing w:val="260"/>
      <w:sz w:val="18"/>
      <w:szCs w:val="18"/>
      <w:u w:val="none"/>
    </w:rPr>
  </w:style>
  <w:style w:type="paragraph" w:customStyle="1" w:styleId="13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8">
    <w:name w:val="正文文本首行缩进 字符"/>
    <w:link w:val="5"/>
    <w:qFormat/>
    <w:uiPriority w:val="0"/>
    <w:rPr>
      <w:rFonts w:eastAsia="宋体"/>
      <w:b/>
      <w:bCs/>
      <w:kern w:val="2"/>
      <w:sz w:val="21"/>
      <w:szCs w:val="24"/>
      <w:lang w:val="en-US" w:eastAsia="zh-CN" w:bidi="ar-SA"/>
    </w:rPr>
  </w:style>
  <w:style w:type="paragraph" w:customStyle="1" w:styleId="13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4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2">
    <w:name w:val="mode"/>
    <w:basedOn w:val="46"/>
    <w:qFormat/>
    <w:uiPriority w:val="0"/>
  </w:style>
  <w:style w:type="paragraph" w:customStyle="1" w:styleId="143">
    <w:name w:val="9"/>
    <w:basedOn w:val="1"/>
    <w:next w:val="12"/>
    <w:qFormat/>
    <w:uiPriority w:val="0"/>
    <w:pPr>
      <w:autoSpaceDE w:val="0"/>
      <w:autoSpaceDN w:val="0"/>
      <w:adjustRightInd w:val="0"/>
      <w:ind w:firstLine="420"/>
      <w:jc w:val="left"/>
      <w:textAlignment w:val="baseline"/>
    </w:pPr>
    <w:rPr>
      <w:rFonts w:ascii="宋体"/>
      <w:kern w:val="0"/>
      <w:sz w:val="34"/>
      <w:szCs w:val="20"/>
    </w:rPr>
  </w:style>
  <w:style w:type="character" w:customStyle="1" w:styleId="144">
    <w:name w:val="unnamed3"/>
    <w:basedOn w:val="46"/>
    <w:qFormat/>
    <w:uiPriority w:val="0"/>
  </w:style>
  <w:style w:type="paragraph" w:customStyle="1" w:styleId="145">
    <w:name w:val="8"/>
    <w:basedOn w:val="1"/>
    <w:next w:val="3"/>
    <w:qFormat/>
    <w:uiPriority w:val="0"/>
    <w:pPr>
      <w:spacing w:after="120"/>
      <w:ind w:left="420" w:leftChars="200"/>
    </w:pPr>
  </w:style>
  <w:style w:type="paragraph" w:customStyle="1" w:styleId="14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8">
    <w:name w:val="5"/>
    <w:basedOn w:val="1"/>
    <w:qFormat/>
    <w:uiPriority w:val="0"/>
    <w:pPr>
      <w:autoSpaceDE w:val="0"/>
      <w:autoSpaceDN w:val="0"/>
      <w:adjustRightInd w:val="0"/>
      <w:jc w:val="left"/>
    </w:pPr>
    <w:rPr>
      <w:rFonts w:ascii="宋体"/>
      <w:b/>
      <w:bCs/>
      <w:kern w:val="0"/>
      <w:sz w:val="18"/>
      <w:szCs w:val="18"/>
    </w:rPr>
  </w:style>
  <w:style w:type="paragraph" w:customStyle="1" w:styleId="149">
    <w:name w:val="6"/>
    <w:basedOn w:val="148"/>
    <w:qFormat/>
    <w:uiPriority w:val="0"/>
    <w:pPr>
      <w:spacing w:line="270" w:lineRule="atLeast"/>
      <w:jc w:val="both"/>
    </w:pPr>
    <w:rPr>
      <w:b w:val="0"/>
      <w:bCs w:val="0"/>
    </w:rPr>
  </w:style>
  <w:style w:type="paragraph" w:customStyle="1" w:styleId="15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1">
    <w:name w:val="姜文清定义的正文"/>
    <w:basedOn w:val="1"/>
    <w:qFormat/>
    <w:uiPriority w:val="0"/>
    <w:pPr>
      <w:spacing w:line="240" w:lineRule="atLeast"/>
      <w:ind w:firstLine="567"/>
    </w:pPr>
    <w:rPr>
      <w:szCs w:val="20"/>
    </w:rPr>
  </w:style>
  <w:style w:type="paragraph" w:customStyle="1" w:styleId="15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3">
    <w:name w:val="CM2"/>
    <w:basedOn w:val="152"/>
    <w:next w:val="152"/>
    <w:qFormat/>
    <w:uiPriority w:val="0"/>
    <w:pPr>
      <w:spacing w:line="200" w:lineRule="atLeast"/>
    </w:pPr>
    <w:rPr>
      <w:rFonts w:ascii="Arial" w:hAnsi="Arial" w:eastAsia="宋体" w:cs="Times New Roman"/>
      <w:color w:val="auto"/>
    </w:rPr>
  </w:style>
  <w:style w:type="paragraph" w:customStyle="1" w:styleId="154">
    <w:name w:val="Normal Paragraph"/>
    <w:basedOn w:val="1"/>
    <w:qFormat/>
    <w:uiPriority w:val="0"/>
    <w:pPr>
      <w:widowControl/>
      <w:spacing w:before="120" w:line="360" w:lineRule="auto"/>
      <w:ind w:firstLine="425"/>
    </w:pPr>
    <w:rPr>
      <w:kern w:val="0"/>
      <w:sz w:val="24"/>
    </w:rPr>
  </w:style>
  <w:style w:type="character" w:customStyle="1" w:styleId="155">
    <w:name w:val="blue"/>
    <w:basedOn w:val="46"/>
    <w:qFormat/>
    <w:uiPriority w:val="0"/>
  </w:style>
  <w:style w:type="paragraph" w:customStyle="1" w:styleId="15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7">
    <w:name w:val="font"/>
    <w:basedOn w:val="46"/>
    <w:qFormat/>
    <w:uiPriority w:val="0"/>
  </w:style>
  <w:style w:type="character" w:customStyle="1" w:styleId="158">
    <w:name w:val="font11"/>
    <w:qFormat/>
    <w:uiPriority w:val="0"/>
    <w:rPr>
      <w:rFonts w:hint="default" w:ascii="ˎ̥" w:hAnsi="ˎ̥"/>
    </w:rPr>
  </w:style>
  <w:style w:type="paragraph" w:customStyle="1" w:styleId="15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60">
    <w:name w:val="proddescription"/>
    <w:basedOn w:val="46"/>
    <w:qFormat/>
    <w:uiPriority w:val="0"/>
  </w:style>
  <w:style w:type="character" w:customStyle="1" w:styleId="161">
    <w:name w:val="prodheadlines"/>
    <w:basedOn w:val="46"/>
    <w:qFormat/>
    <w:uiPriority w:val="0"/>
  </w:style>
  <w:style w:type="character" w:customStyle="1" w:styleId="162">
    <w:name w:val="text"/>
    <w:basedOn w:val="46"/>
    <w:qFormat/>
    <w:uiPriority w:val="0"/>
  </w:style>
  <w:style w:type="paragraph" w:customStyle="1" w:styleId="16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8">
    <w:name w:val="段落正文"/>
    <w:basedOn w:val="25"/>
    <w:qFormat/>
    <w:uiPriority w:val="0"/>
    <w:pPr>
      <w:ind w:firstLine="560" w:firstLineChars="200"/>
    </w:pPr>
    <w:rPr>
      <w:sz w:val="28"/>
    </w:rPr>
  </w:style>
  <w:style w:type="character" w:customStyle="1" w:styleId="169">
    <w:name w:val="gray6"/>
    <w:basedOn w:val="46"/>
    <w:qFormat/>
    <w:uiPriority w:val="0"/>
  </w:style>
  <w:style w:type="character" w:customStyle="1" w:styleId="170">
    <w:name w:val="style9"/>
    <w:basedOn w:val="46"/>
    <w:qFormat/>
    <w:uiPriority w:val="0"/>
  </w:style>
  <w:style w:type="paragraph" w:customStyle="1" w:styleId="17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2">
    <w:name w:val="grame"/>
    <w:basedOn w:val="46"/>
    <w:qFormat/>
    <w:uiPriority w:val="0"/>
  </w:style>
  <w:style w:type="paragraph" w:customStyle="1" w:styleId="17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Char1"/>
    <w:basedOn w:val="1"/>
    <w:qFormat/>
    <w:uiPriority w:val="0"/>
    <w:pPr>
      <w:jc w:val="left"/>
    </w:pPr>
    <w:rPr>
      <w:rFonts w:ascii="Tahoma" w:hAnsi="Tahoma"/>
      <w:sz w:val="24"/>
      <w:szCs w:val="20"/>
    </w:rPr>
  </w:style>
  <w:style w:type="paragraph" w:customStyle="1" w:styleId="17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9">
    <w:name w:val="font6"/>
    <w:basedOn w:val="1"/>
    <w:qFormat/>
    <w:uiPriority w:val="0"/>
    <w:pPr>
      <w:widowControl/>
      <w:spacing w:before="100" w:beforeAutospacing="1" w:after="100" w:afterAutospacing="1"/>
      <w:jc w:val="left"/>
    </w:pPr>
    <w:rPr>
      <w:kern w:val="0"/>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2">
    <w:name w:val="表格字"/>
    <w:basedOn w:val="1"/>
    <w:qFormat/>
    <w:uiPriority w:val="0"/>
    <w:pPr>
      <w:adjustRightInd w:val="0"/>
      <w:jc w:val="center"/>
    </w:pPr>
    <w:rPr>
      <w:rFonts w:ascii="宋体"/>
      <w:sz w:val="24"/>
      <w:szCs w:val="20"/>
    </w:rPr>
  </w:style>
  <w:style w:type="character" w:customStyle="1" w:styleId="183">
    <w:name w:val="样式 小三 加粗"/>
    <w:qFormat/>
    <w:uiPriority w:val="0"/>
    <w:rPr>
      <w:rFonts w:eastAsia="宋体"/>
      <w:b/>
      <w:bCs/>
      <w:sz w:val="32"/>
    </w:rPr>
  </w:style>
  <w:style w:type="paragraph" w:customStyle="1" w:styleId="18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6">
    <w:name w:val="Char Char Char"/>
    <w:basedOn w:val="1"/>
    <w:qFormat/>
    <w:uiPriority w:val="0"/>
    <w:rPr>
      <w:rFonts w:ascii="Tahoma" w:hAnsi="Tahoma"/>
      <w:sz w:val="24"/>
      <w:szCs w:val="20"/>
    </w:rPr>
  </w:style>
  <w:style w:type="paragraph" w:customStyle="1" w:styleId="18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8">
    <w:name w:val="info4"/>
    <w:basedOn w:val="46"/>
    <w:qFormat/>
    <w:uiPriority w:val="0"/>
  </w:style>
  <w:style w:type="paragraph" w:customStyle="1" w:styleId="189">
    <w:name w:val="缩进正文"/>
    <w:basedOn w:val="1"/>
    <w:link w:val="190"/>
    <w:qFormat/>
    <w:uiPriority w:val="0"/>
    <w:pPr>
      <w:ind w:firstLine="560" w:firstLineChars="200"/>
    </w:pPr>
    <w:rPr>
      <w:rFonts w:eastAsia="仿宋_GB2312" w:cs="宋体"/>
      <w:sz w:val="28"/>
      <w:szCs w:val="20"/>
    </w:rPr>
  </w:style>
  <w:style w:type="character" w:customStyle="1" w:styleId="190">
    <w:name w:val="缩进正文 Char"/>
    <w:link w:val="189"/>
    <w:qFormat/>
    <w:uiPriority w:val="0"/>
    <w:rPr>
      <w:rFonts w:eastAsia="仿宋_GB2312" w:cs="宋体"/>
      <w:kern w:val="2"/>
      <w:sz w:val="28"/>
      <w:lang w:val="en-US" w:eastAsia="zh-CN" w:bidi="ar-SA"/>
    </w:rPr>
  </w:style>
  <w:style w:type="paragraph" w:customStyle="1" w:styleId="191">
    <w:name w:val="列出段落1"/>
    <w:basedOn w:val="1"/>
    <w:qFormat/>
    <w:uiPriority w:val="0"/>
    <w:pPr>
      <w:ind w:firstLine="420" w:firstLineChars="200"/>
    </w:pPr>
    <w:rPr>
      <w:rFonts w:ascii="Calibri" w:hAnsi="Calibri" w:cs="Calibri"/>
      <w:szCs w:val="21"/>
    </w:rPr>
  </w:style>
  <w:style w:type="character" w:customStyle="1" w:styleId="192">
    <w:name w:val="批注文字 字符"/>
    <w:basedOn w:val="46"/>
    <w:link w:val="21"/>
    <w:qFormat/>
    <w:uiPriority w:val="0"/>
    <w:rPr>
      <w:rFonts w:ascii="宋体"/>
      <w:sz w:val="34"/>
    </w:rPr>
  </w:style>
  <w:style w:type="character" w:customStyle="1" w:styleId="193">
    <w:name w:val="批注主题 字符"/>
    <w:basedOn w:val="192"/>
    <w:link w:val="43"/>
    <w:qFormat/>
    <w:uiPriority w:val="99"/>
    <w:rPr>
      <w:rFonts w:ascii="宋体"/>
      <w:sz w:val="34"/>
    </w:rPr>
  </w:style>
  <w:style w:type="paragraph" w:customStyle="1" w:styleId="194">
    <w:name w:val="评价"/>
    <w:basedOn w:val="1"/>
    <w:qFormat/>
    <w:uiPriority w:val="0"/>
    <w:pPr>
      <w:spacing w:afterLines="20"/>
      <w:ind w:firstLine="1446" w:firstLineChars="200"/>
    </w:pPr>
    <w:rPr>
      <w:rFonts w:ascii="Calibri" w:hAnsi="Calibri"/>
      <w:sz w:val="24"/>
    </w:rPr>
  </w:style>
  <w:style w:type="paragraph" w:customStyle="1" w:styleId="19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6">
    <w:name w:val="alt-edited1"/>
    <w:qFormat/>
    <w:uiPriority w:val="0"/>
    <w:rPr>
      <w:color w:val="4D90F0"/>
    </w:rPr>
  </w:style>
  <w:style w:type="character" w:customStyle="1" w:styleId="197">
    <w:name w:val="body text Char1"/>
    <w:qFormat/>
    <w:uiPriority w:val="0"/>
    <w:rPr>
      <w:rFonts w:eastAsia="宋体"/>
      <w:kern w:val="2"/>
      <w:sz w:val="21"/>
      <w:lang w:val="en-US" w:eastAsia="zh-CN" w:bidi="ar-SA"/>
    </w:rPr>
  </w:style>
  <w:style w:type="character" w:customStyle="1" w:styleId="198">
    <w:name w:val="普通(网站) 字符"/>
    <w:link w:val="40"/>
    <w:qFormat/>
    <w:uiPriority w:val="0"/>
    <w:rPr>
      <w:kern w:val="2"/>
      <w:sz w:val="24"/>
      <w:szCs w:val="24"/>
    </w:rPr>
  </w:style>
  <w:style w:type="character" w:customStyle="1" w:styleId="199">
    <w:name w:val="批注文字 Char1"/>
    <w:qFormat/>
    <w:uiPriority w:val="99"/>
    <w:rPr>
      <w:rFonts w:ascii="宋体"/>
      <w:sz w:val="34"/>
    </w:rPr>
  </w:style>
  <w:style w:type="character" w:customStyle="1" w:styleId="200">
    <w:name w:val="正文缩进 Char1"/>
    <w:qFormat/>
    <w:uiPriority w:val="0"/>
    <w:rPr>
      <w:rFonts w:eastAsia="宋体"/>
      <w:kern w:val="2"/>
      <w:sz w:val="21"/>
      <w:lang w:val="en-US" w:eastAsia="zh-CN" w:bidi="ar-SA"/>
    </w:rPr>
  </w:style>
  <w:style w:type="character" w:customStyle="1" w:styleId="201">
    <w:name w:val="layui-this"/>
    <w:basedOn w:val="46"/>
    <w:qFormat/>
    <w:uiPriority w:val="0"/>
    <w:rPr>
      <w:bdr w:val="single" w:color="EEEEEE" w:sz="4" w:space="0"/>
      <w:shd w:val="clear" w:color="auto" w:fill="FFFFFF"/>
    </w:rPr>
  </w:style>
  <w:style w:type="character" w:customStyle="1" w:styleId="202">
    <w:name w:val="first-child"/>
    <w:basedOn w:val="46"/>
    <w:qFormat/>
    <w:uiPriority w:val="0"/>
  </w:style>
  <w:style w:type="paragraph" w:customStyle="1" w:styleId="203">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04">
    <w:name w:val="font21"/>
    <w:basedOn w:val="46"/>
    <w:qFormat/>
    <w:uiPriority w:val="0"/>
    <w:rPr>
      <w:rFonts w:hint="default" w:ascii="Times New Roman" w:hAnsi="Times New Roman" w:cs="Times New Roman"/>
      <w:color w:val="000000"/>
      <w:sz w:val="21"/>
      <w:szCs w:val="21"/>
      <w:u w:val="none"/>
    </w:rPr>
  </w:style>
  <w:style w:type="character" w:customStyle="1" w:styleId="205">
    <w:name w:val="font51"/>
    <w:basedOn w:val="46"/>
    <w:qFormat/>
    <w:uiPriority w:val="0"/>
    <w:rPr>
      <w:rFonts w:hint="default" w:ascii="Times New Roman" w:hAnsi="Times New Roman" w:cs="Times New Roman"/>
      <w:color w:val="000000"/>
      <w:sz w:val="21"/>
      <w:szCs w:val="21"/>
      <w:u w:val="none"/>
    </w:rPr>
  </w:style>
  <w:style w:type="character" w:customStyle="1" w:styleId="206">
    <w:name w:val="hover"/>
    <w:basedOn w:val="46"/>
    <w:qFormat/>
    <w:uiPriority w:val="0"/>
    <w:rPr>
      <w:color w:val="2590EB"/>
      <w:shd w:val="clear" w:color="auto" w:fill="E9F4FD"/>
    </w:rPr>
  </w:style>
  <w:style w:type="character" w:customStyle="1" w:styleId="207">
    <w:name w:val="hover1"/>
    <w:basedOn w:val="46"/>
    <w:qFormat/>
    <w:uiPriority w:val="0"/>
    <w:rPr>
      <w:color w:val="2590EB"/>
    </w:rPr>
  </w:style>
  <w:style w:type="character" w:customStyle="1" w:styleId="208">
    <w:name w:val="hover2"/>
    <w:basedOn w:val="46"/>
    <w:qFormat/>
    <w:uiPriority w:val="0"/>
    <w:rPr>
      <w:color w:val="2590EB"/>
    </w:rPr>
  </w:style>
  <w:style w:type="character" w:customStyle="1" w:styleId="209">
    <w:name w:val="hover3"/>
    <w:basedOn w:val="46"/>
    <w:qFormat/>
    <w:uiPriority w:val="0"/>
  </w:style>
  <w:style w:type="character" w:customStyle="1" w:styleId="210">
    <w:name w:val="hover4"/>
    <w:basedOn w:val="46"/>
    <w:qFormat/>
    <w:uiPriority w:val="0"/>
  </w:style>
  <w:style w:type="character" w:customStyle="1" w:styleId="211">
    <w:name w:val="font31"/>
    <w:basedOn w:val="46"/>
    <w:qFormat/>
    <w:uiPriority w:val="0"/>
    <w:rPr>
      <w:rFonts w:hint="default" w:ascii="Times New Roman" w:hAnsi="Times New Roman" w:cs="Times New Roman"/>
      <w:color w:val="000000"/>
      <w:sz w:val="24"/>
      <w:szCs w:val="24"/>
      <w:u w:val="none"/>
    </w:rPr>
  </w:style>
  <w:style w:type="paragraph" w:customStyle="1" w:styleId="21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1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6CDAF-F519-4F49-899A-2A260E1F7A5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2859</Words>
  <Characters>3080</Characters>
  <Lines>79</Lines>
  <Paragraphs>22</Paragraphs>
  <TotalTime>0</TotalTime>
  <ScaleCrop>false</ScaleCrop>
  <LinksUpToDate>false</LinksUpToDate>
  <CharactersWithSpaces>3099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2022-08-11T07:27:00Z</dcterms:created>
  <dc:creator>thsware</dc:creator>
  <cp:lastModifiedBy>暗殇</cp:lastModifiedBy>
  <cp:lastPrinted>2021-05-09T08:02:00Z</cp:lastPrinted>
  <dcterms:modified xsi:type="dcterms:W3CDTF">2026-07-02T08:12:59Z</dcterms:modified>
  <dc:title>招  标　文　件</dc:title>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22827B6B5D3E483EB76F0AC19230F2D6_13</vt:lpwstr>
  </property>
  <property fmtid="{D5CDD505-2E9C-101B-9397-08002B2CF9AE}" pid="3" name="KSOProductBuildVer">
    <vt:lpwstr>2052-12.1.0.26895</vt:lpwstr>
  </property>
  <property fmtid="{D5CDD505-2E9C-101B-9397-08002B2CF9AE}" pid="4" name="KSOTemplateDocerSaveRecord">
    <vt:lpwstr>eyJoZGlkIjoiMDdlZjkxYjJhNDE0NTc1OTg3N2Q0NTcyN2M4N2UwNzUiLCJ1c2VySWQiOiIyNDM1MjY3NjcifQ==</vt:lpwstr>
  </property>
</Properties>
</file>