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A4E76">
      <w:pPr>
        <w:widowControl/>
        <w:jc w:val="left"/>
        <w:rPr>
          <w:rFonts w:hint="default" w:ascii="宋体" w:hAnsi="宋体" w:eastAsia="宋体"/>
          <w:sz w:val="32"/>
          <w:szCs w:val="32"/>
          <w:lang w:val="en-US"/>
        </w:rPr>
      </w:pPr>
      <w:bookmarkStart w:id="0" w:name="_GoBack"/>
      <w:bookmarkEnd w:id="0"/>
      <w:r>
        <w:rPr>
          <w:rFonts w:hint="eastAsia" w:ascii="宋体" w:hAnsi="宋体" w:eastAsia="宋体"/>
          <w:sz w:val="32"/>
          <w:szCs w:val="32"/>
        </w:rPr>
        <w:t>附件</w:t>
      </w:r>
      <w:r>
        <w:rPr>
          <w:rFonts w:hint="eastAsia" w:ascii="宋体" w:hAnsi="宋体" w:eastAsia="宋体"/>
          <w:sz w:val="32"/>
          <w:szCs w:val="32"/>
          <w:lang w:eastAsia="zh"/>
          <w:woUserID w:val="1"/>
        </w:rPr>
        <w:t>1</w:t>
      </w:r>
      <w:r>
        <w:rPr>
          <w:rFonts w:hint="eastAsia" w:ascii="宋体" w:hAnsi="宋体" w:eastAsia="宋体"/>
          <w:sz w:val="32"/>
          <w:szCs w:val="32"/>
        </w:rPr>
        <w:t>：</w:t>
      </w:r>
      <w:r>
        <w:rPr>
          <w:rFonts w:hint="eastAsia" w:ascii="宋体" w:hAnsi="宋体" w:eastAsia="宋体"/>
          <w:sz w:val="32"/>
          <w:szCs w:val="32"/>
          <w:lang w:val="en-US" w:eastAsia="zh-CN"/>
        </w:rPr>
        <w:t>直饮水设备需求明细</w:t>
      </w:r>
    </w:p>
    <w:tbl>
      <w:tblPr>
        <w:tblStyle w:val="10"/>
        <w:tblW w:w="10263" w:type="dxa"/>
        <w:jc w:val="center"/>
        <w:tblLayout w:type="autofit"/>
        <w:tblCellMar>
          <w:top w:w="0" w:type="dxa"/>
          <w:left w:w="108" w:type="dxa"/>
          <w:bottom w:w="0" w:type="dxa"/>
          <w:right w:w="108" w:type="dxa"/>
        </w:tblCellMar>
      </w:tblPr>
      <w:tblGrid>
        <w:gridCol w:w="800"/>
        <w:gridCol w:w="1646"/>
        <w:gridCol w:w="7817"/>
      </w:tblGrid>
      <w:tr w14:paraId="04D7766E">
        <w:tblPrEx>
          <w:tblCellMar>
            <w:top w:w="0" w:type="dxa"/>
            <w:left w:w="108" w:type="dxa"/>
            <w:bottom w:w="0" w:type="dxa"/>
            <w:right w:w="108" w:type="dxa"/>
          </w:tblCellMar>
        </w:tblPrEx>
        <w:trPr>
          <w:trHeight w:val="402" w:hRule="atLeast"/>
          <w:jc w:val="center"/>
        </w:trPr>
        <w:tc>
          <w:tcPr>
            <w:tcW w:w="800" w:type="dxa"/>
            <w:tcBorders>
              <w:top w:val="single" w:color="auto" w:sz="4" w:space="0"/>
              <w:left w:val="single" w:color="auto" w:sz="4" w:space="0"/>
              <w:bottom w:val="single" w:color="auto" w:sz="4" w:space="0"/>
              <w:right w:val="single" w:color="auto" w:sz="4" w:space="0"/>
            </w:tcBorders>
            <w:noWrap/>
            <w:vAlign w:val="center"/>
          </w:tcPr>
          <w:p w14:paraId="3B0108B7">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646" w:type="dxa"/>
            <w:tcBorders>
              <w:top w:val="single" w:color="auto" w:sz="4" w:space="0"/>
              <w:left w:val="nil"/>
              <w:bottom w:val="single" w:color="auto" w:sz="4" w:space="0"/>
              <w:right w:val="single" w:color="auto" w:sz="4" w:space="0"/>
            </w:tcBorders>
            <w:noWrap/>
            <w:vAlign w:val="center"/>
          </w:tcPr>
          <w:p w14:paraId="31B82C26">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产品名称</w:t>
            </w:r>
          </w:p>
        </w:tc>
        <w:tc>
          <w:tcPr>
            <w:tcW w:w="7817" w:type="dxa"/>
            <w:tcBorders>
              <w:top w:val="single" w:color="auto" w:sz="4" w:space="0"/>
              <w:left w:val="nil"/>
              <w:bottom w:val="single" w:color="auto" w:sz="4" w:space="0"/>
              <w:right w:val="single" w:color="auto" w:sz="4" w:space="0"/>
            </w:tcBorders>
            <w:noWrap/>
            <w:vAlign w:val="center"/>
          </w:tcPr>
          <w:p w14:paraId="01827537">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rPr>
              <w:t>招标</w:t>
            </w:r>
            <w:r>
              <w:rPr>
                <w:rFonts w:hint="eastAsia" w:ascii="宋体" w:hAnsi="宋体" w:eastAsia="宋体" w:cs="宋体"/>
                <w:b/>
                <w:bCs/>
                <w:color w:val="000000"/>
                <w:kern w:val="0"/>
                <w:sz w:val="22"/>
                <w:lang w:val="en-US" w:eastAsia="zh-CN"/>
              </w:rPr>
              <w:t>要求</w:t>
            </w:r>
          </w:p>
        </w:tc>
      </w:tr>
      <w:tr w14:paraId="3C076755">
        <w:tblPrEx>
          <w:tblCellMar>
            <w:top w:w="0" w:type="dxa"/>
            <w:left w:w="108" w:type="dxa"/>
            <w:bottom w:w="0" w:type="dxa"/>
            <w:right w:w="108" w:type="dxa"/>
          </w:tblCellMar>
        </w:tblPrEx>
        <w:trPr>
          <w:trHeight w:val="402" w:hRule="atLeast"/>
          <w:jc w:val="center"/>
        </w:trPr>
        <w:tc>
          <w:tcPr>
            <w:tcW w:w="800" w:type="dxa"/>
            <w:tcBorders>
              <w:top w:val="nil"/>
              <w:left w:val="single" w:color="auto" w:sz="4" w:space="0"/>
              <w:bottom w:val="nil"/>
              <w:right w:val="single" w:color="auto" w:sz="4" w:space="0"/>
            </w:tcBorders>
            <w:noWrap/>
            <w:vAlign w:val="center"/>
          </w:tcPr>
          <w:p w14:paraId="58E71D5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646" w:type="dxa"/>
            <w:tcBorders>
              <w:top w:val="nil"/>
              <w:left w:val="nil"/>
              <w:bottom w:val="nil"/>
              <w:right w:val="single" w:color="auto" w:sz="4" w:space="0"/>
            </w:tcBorders>
            <w:noWrap/>
            <w:vAlign w:val="center"/>
          </w:tcPr>
          <w:p w14:paraId="355CC371">
            <w:pPr>
              <w:jc w:val="left"/>
              <w:rPr>
                <w:rFonts w:hint="default" w:hAnsi="宋体" w:eastAsiaTheme="minorEastAsia"/>
                <w:color w:val="000000"/>
                <w:sz w:val="24"/>
                <w:lang w:val="en-US" w:eastAsia="zh-CN"/>
              </w:rPr>
            </w:pPr>
            <w:r>
              <w:rPr>
                <w:rFonts w:hint="eastAsia" w:hAnsi="宋体"/>
                <w:color w:val="000000"/>
                <w:sz w:val="24"/>
                <w:lang w:val="en-US" w:eastAsia="zh"/>
              </w:rPr>
              <w:t>双龙头立式</w:t>
            </w:r>
            <w:r>
              <w:rPr>
                <w:rFonts w:hint="eastAsia" w:hAnsi="宋体"/>
                <w:color w:val="000000"/>
                <w:sz w:val="24"/>
                <w:lang w:val="en-US" w:eastAsia="zh-CN"/>
              </w:rPr>
              <w:t>净饮</w:t>
            </w:r>
            <w:r>
              <w:rPr>
                <w:rFonts w:hint="eastAsia" w:hAnsi="宋体"/>
                <w:color w:val="000000"/>
                <w:sz w:val="24"/>
                <w:lang w:val="en-US" w:eastAsia="zh"/>
              </w:rPr>
              <w:t>一体机</w:t>
            </w:r>
            <w:r>
              <w:rPr>
                <w:rFonts w:hint="eastAsia" w:hAnsi="宋体"/>
                <w:color w:val="000000"/>
                <w:sz w:val="24"/>
                <w:lang w:val="en-US" w:eastAsia="zh-CN"/>
              </w:rPr>
              <w:t>（配置数量3台）</w:t>
            </w:r>
          </w:p>
        </w:tc>
        <w:tc>
          <w:tcPr>
            <w:tcW w:w="7817" w:type="dxa"/>
            <w:tcBorders>
              <w:top w:val="nil"/>
              <w:left w:val="nil"/>
              <w:bottom w:val="nil"/>
              <w:right w:val="single" w:color="auto" w:sz="4" w:space="0"/>
            </w:tcBorders>
          </w:tcPr>
          <w:p w14:paraId="0249D085">
            <w:pPr>
              <w:jc w:val="left"/>
              <w:rPr>
                <w:rFonts w:hint="eastAsia" w:hAnsi="宋体"/>
                <w:color w:val="000000"/>
                <w:sz w:val="24"/>
                <w:lang w:val="en-US" w:eastAsia="zh"/>
              </w:rPr>
            </w:pPr>
            <w:r>
              <w:rPr>
                <w:rFonts w:hint="eastAsia" w:hAnsi="宋体"/>
                <w:color w:val="000000"/>
                <w:sz w:val="24"/>
                <w:lang w:val="en-US" w:eastAsia="zh"/>
              </w:rPr>
              <w:t>1.1. 机身尺寸：宽420mm(±30mm)*厚450mm(±30mm)*高1450mm(±30mm)，（提供产品宣传彩页或说明书扫描件证明，原件备查）；</w:t>
            </w:r>
            <w:r>
              <w:rPr>
                <w:rFonts w:hint="eastAsia" w:hAnsi="宋体"/>
                <w:color w:val="000000"/>
                <w:sz w:val="24"/>
                <w:lang w:val="en-US" w:eastAsia="zh"/>
              </w:rPr>
              <w:br w:type="textWrapping"/>
            </w:r>
            <w:r>
              <w:rPr>
                <w:rFonts w:hint="eastAsia" w:hAnsi="宋体"/>
                <w:color w:val="000000"/>
                <w:sz w:val="24"/>
                <w:lang w:val="en-US" w:eastAsia="zh"/>
              </w:rPr>
              <w:t>1.2.投标产品具备一键休眠功能，节能省电；</w:t>
            </w:r>
            <w:r>
              <w:rPr>
                <w:rFonts w:hint="eastAsia" w:hAnsi="宋体"/>
                <w:color w:val="000000"/>
                <w:sz w:val="24"/>
                <w:lang w:val="en-US" w:eastAsia="zh"/>
              </w:rPr>
              <w:br w:type="textWrapping"/>
            </w:r>
            <w:r>
              <w:rPr>
                <w:rFonts w:hint="eastAsia" w:hAnsi="宋体"/>
                <w:color w:val="000000"/>
                <w:sz w:val="24"/>
                <w:lang w:val="en-US" w:eastAsia="zh"/>
              </w:rPr>
              <w:t>1.3. 投标产品整机额定总净水量≥15000L；水效等级达到1级，净水产水率≥65%（投标人需提供中国水效标识网官网http://www.waterlabel.org.cn查询截图证明并加盖公章）</w:t>
            </w:r>
            <w:r>
              <w:rPr>
                <w:rFonts w:hint="eastAsia" w:hAnsi="宋体"/>
                <w:color w:val="000000"/>
                <w:sz w:val="24"/>
                <w:lang w:val="en-US" w:eastAsia="zh"/>
              </w:rPr>
              <w:br w:type="textWrapping"/>
            </w:r>
            <w:r>
              <w:rPr>
                <w:rFonts w:hint="eastAsia" w:hAnsi="宋体"/>
                <w:color w:val="000000"/>
                <w:sz w:val="24"/>
                <w:lang w:val="en-US" w:eastAsia="zh"/>
              </w:rPr>
              <w:t>1.4.热水箱容量≥10L；</w:t>
            </w:r>
            <w:r>
              <w:rPr>
                <w:rFonts w:hint="eastAsia" w:hAnsi="宋体"/>
                <w:color w:val="000000"/>
                <w:sz w:val="24"/>
                <w:lang w:val="en-US" w:eastAsia="zh"/>
              </w:rPr>
              <w:br w:type="textWrapping"/>
            </w:r>
            <w:r>
              <w:rPr>
                <w:rFonts w:hint="eastAsia" w:hAnsi="宋体"/>
                <w:color w:val="000000"/>
                <w:sz w:val="24"/>
                <w:lang w:val="en-US" w:eastAsia="zh"/>
              </w:rPr>
              <w:t>1.5.投标产品具备一键杀菌，减少内部细菌滋生，确保菌落符合直饮水标准；</w:t>
            </w:r>
            <w:r>
              <w:rPr>
                <w:rFonts w:hint="eastAsia" w:hAnsi="宋体"/>
                <w:color w:val="000000"/>
                <w:sz w:val="24"/>
                <w:lang w:val="en-US" w:eastAsia="zh"/>
              </w:rPr>
              <w:br w:type="textWrapping"/>
            </w:r>
            <w:r>
              <w:rPr>
                <w:rFonts w:hint="eastAsia" w:hAnsi="宋体"/>
                <w:color w:val="000000"/>
                <w:sz w:val="24"/>
                <w:lang w:val="en-US" w:eastAsia="zh"/>
              </w:rPr>
              <w:t>1.6. 投标产品温水供给方式采用温水直供，保障温水新鲜；</w:t>
            </w:r>
            <w:r>
              <w:rPr>
                <w:rFonts w:hint="eastAsia" w:hAnsi="宋体"/>
                <w:color w:val="000000"/>
                <w:sz w:val="24"/>
                <w:lang w:val="en-US" w:eastAsia="zh"/>
              </w:rPr>
              <w:br w:type="textWrapping"/>
            </w:r>
            <w:r>
              <w:rPr>
                <w:rFonts w:hint="eastAsia" w:hAnsi="宋体"/>
                <w:color w:val="000000"/>
                <w:sz w:val="24"/>
                <w:lang w:val="en-US" w:eastAsia="zh"/>
              </w:rPr>
              <w:t>1.7. 使用电源220V，50Hz；额定功率≤2000W；</w:t>
            </w:r>
            <w:r>
              <w:rPr>
                <w:rFonts w:hint="eastAsia" w:hAnsi="宋体"/>
                <w:color w:val="000000"/>
                <w:sz w:val="24"/>
                <w:lang w:val="en-US" w:eastAsia="zh"/>
              </w:rPr>
              <w:br w:type="textWrapping"/>
            </w:r>
            <w:r>
              <w:rPr>
                <w:rFonts w:hint="eastAsia" w:hAnsi="宋体"/>
                <w:color w:val="000000"/>
                <w:sz w:val="24"/>
                <w:lang w:val="en-US" w:eastAsia="zh"/>
              </w:rPr>
              <w:t>1.8. 投标产品核心过滤类型为反渗透过滤，净水流量（制水速度）≥1.5L/min，制热速度≥18L/H(≥90℃)；（提供产品彩页或说明书扫描件证明，原件备查）</w:t>
            </w:r>
          </w:p>
          <w:p w14:paraId="64D13E3A">
            <w:pPr>
              <w:jc w:val="left"/>
              <w:rPr>
                <w:rFonts w:hint="eastAsia" w:hAnsi="宋体"/>
                <w:color w:val="000000"/>
                <w:sz w:val="24"/>
                <w:lang w:val="en-US" w:eastAsia="zh"/>
              </w:rPr>
            </w:pPr>
            <w:r>
              <w:rPr>
                <w:rFonts w:hint="eastAsia" w:hAnsi="宋体"/>
                <w:color w:val="000000"/>
                <w:sz w:val="24"/>
                <w:lang w:val="en-US" w:eastAsia="zh"/>
              </w:rPr>
              <w:t>1.9.过滤系统采用聚丙烯活性炭复合滤芯、反渗透（RO）膜、活性炭复合滤芯；提供整机《涉及饮用水卫生安全产品卫生许可批件》扫描件证明；同时提供过滤系统所有滤芯《涉及饮用水卫生安全产品卫生许可批件》扫描件，滤芯品牌与整机品牌一致，滤芯的生产单位与整机生产单位一致。</w:t>
            </w:r>
          </w:p>
          <w:p w14:paraId="6E32652A">
            <w:pPr>
              <w:jc w:val="left"/>
              <w:rPr>
                <w:rFonts w:hint="eastAsia" w:hAnsi="宋体"/>
                <w:color w:val="000000"/>
                <w:sz w:val="24"/>
                <w:lang w:val="en-US" w:eastAsia="zh"/>
              </w:rPr>
            </w:pPr>
            <w:r>
              <w:rPr>
                <w:rFonts w:hint="eastAsia" w:hAnsi="宋体"/>
                <w:color w:val="000000"/>
                <w:sz w:val="24"/>
                <w:lang w:val="en-US" w:eastAsia="zh"/>
              </w:rPr>
              <w:t>1.10. 投标产品反渗透（RO）膜装置依据GB/T 30307-2023《家用和类似用途饮用水处理装置》标准检测，其对大肠杆群、噬菌体、抗生素（四环素、土霉素、强力霉素、金霉素）和其他项目（氨苄西林、阿莫西林、磺胺嘧啶、磺胺二甲基嘧啶、红霉素、诺氟沙星）去除率均符合上述标准要求；（提供投标人或整机产品制造商送检的包含上述内容去除率的第三方检测报告扫描件证明，原件备查）</w:t>
            </w:r>
          </w:p>
          <w:p w14:paraId="1463F2B6">
            <w:pPr>
              <w:jc w:val="left"/>
              <w:rPr>
                <w:rFonts w:hint="eastAsia" w:hAnsi="宋体"/>
                <w:color w:val="000000"/>
                <w:sz w:val="24"/>
                <w:lang w:val="en-US" w:eastAsia="zh"/>
              </w:rPr>
            </w:pPr>
            <w:r>
              <w:rPr>
                <w:rFonts w:hint="eastAsia" w:hAnsi="宋体"/>
                <w:color w:val="000000"/>
                <w:sz w:val="24"/>
                <w:lang w:val="en-US" w:eastAsia="zh"/>
              </w:rPr>
              <w:t>1.11.出水水质符合《生活饮用水水质处理器卫生安全与功能评价规范-反渗透处理装置》，且对出水进行检测，磷酸盐含量为0；（提供投标人或整机产品制造商送检的具有CMA或CNAS标识的检测报告扫描件证明，原件备查）</w:t>
            </w:r>
          </w:p>
          <w:p w14:paraId="6E503ABC">
            <w:pPr>
              <w:jc w:val="left"/>
              <w:rPr>
                <w:rFonts w:hint="eastAsia" w:hAnsi="宋体"/>
                <w:color w:val="000000"/>
                <w:sz w:val="24"/>
                <w:lang w:val="en-US" w:eastAsia="zh"/>
              </w:rPr>
            </w:pPr>
            <w:r>
              <w:rPr>
                <w:rFonts w:hint="eastAsia" w:hAnsi="宋体"/>
                <w:color w:val="000000"/>
                <w:sz w:val="24"/>
                <w:lang w:val="en-US" w:eastAsia="zh"/>
              </w:rPr>
              <w:t>1.12.设备集成电路采用灌胶工艺，使设备具备更强防水性能；</w:t>
            </w:r>
          </w:p>
          <w:p w14:paraId="2599EF96">
            <w:pPr>
              <w:jc w:val="left"/>
              <w:rPr>
                <w:rFonts w:hint="eastAsia" w:hAnsi="宋体"/>
                <w:color w:val="000000"/>
                <w:sz w:val="24"/>
                <w:lang w:val="en-US" w:eastAsia="zh"/>
              </w:rPr>
            </w:pPr>
            <w:r>
              <w:rPr>
                <w:rFonts w:hint="eastAsia" w:hAnsi="宋体"/>
                <w:color w:val="000000"/>
                <w:sz w:val="24"/>
                <w:lang w:val="en-US" w:eastAsia="zh"/>
              </w:rPr>
              <w:t>1.13.设备防触电保护类型为I类；</w:t>
            </w:r>
          </w:p>
          <w:p w14:paraId="49DC7143">
            <w:pPr>
              <w:jc w:val="left"/>
              <w:rPr>
                <w:rFonts w:hint="eastAsia" w:hAnsi="宋体"/>
                <w:color w:val="000000"/>
                <w:sz w:val="24"/>
                <w:lang w:val="en-US" w:eastAsia="zh"/>
              </w:rPr>
            </w:pPr>
            <w:r>
              <w:rPr>
                <w:rFonts w:hint="eastAsia" w:hAnsi="宋体"/>
                <w:color w:val="000000"/>
                <w:sz w:val="24"/>
                <w:lang w:val="en-US" w:eastAsia="zh"/>
              </w:rPr>
              <w:t>1.14.设备具备TDS值、滤芯寿命状态、水温显示功能；</w:t>
            </w:r>
          </w:p>
          <w:p w14:paraId="4BAEC790">
            <w:pPr>
              <w:jc w:val="left"/>
              <w:rPr>
                <w:rFonts w:hint="default" w:hAnsi="宋体"/>
                <w:color w:val="000000"/>
                <w:sz w:val="24"/>
                <w:lang w:val="en-US" w:eastAsia="zh-CN"/>
              </w:rPr>
            </w:pPr>
            <w:r>
              <w:rPr>
                <w:rFonts w:hint="eastAsia" w:hAnsi="宋体"/>
                <w:color w:val="000000"/>
                <w:sz w:val="24"/>
                <w:lang w:val="en-US" w:eastAsia="zh"/>
              </w:rPr>
              <w:t>1.15.具有整机故障自动检测并代码提示功能</w:t>
            </w:r>
            <w:r>
              <w:rPr>
                <w:rFonts w:hint="eastAsia" w:hAnsi="宋体"/>
                <w:color w:val="000000"/>
                <w:sz w:val="24"/>
                <w:lang w:val="en-US" w:eastAsia="zh-CN"/>
              </w:rPr>
              <w:t xml:space="preserve">； </w:t>
            </w:r>
          </w:p>
          <w:p w14:paraId="42C288D0">
            <w:pPr>
              <w:jc w:val="left"/>
              <w:rPr>
                <w:rFonts w:hint="eastAsia" w:hAnsi="宋体"/>
                <w:color w:val="000000"/>
                <w:sz w:val="24"/>
                <w:lang w:val="en-US" w:eastAsia="zh-CN"/>
              </w:rPr>
            </w:pPr>
            <w:r>
              <w:rPr>
                <w:rFonts w:hint="eastAsia" w:hAnsi="宋体"/>
                <w:color w:val="000000"/>
                <w:sz w:val="24"/>
                <w:lang w:val="en-US" w:eastAsia="zh"/>
              </w:rPr>
              <w:t>1.16.投标产品具有产品责任险，其保险金额≥5000万（提供投标人或整机产品制造商投保的产品责任保险保险单证明）</w:t>
            </w:r>
            <w:r>
              <w:rPr>
                <w:rFonts w:hint="eastAsia" w:hAnsi="宋体"/>
                <w:color w:val="000000"/>
                <w:sz w:val="24"/>
                <w:lang w:val="en-US" w:eastAsia="zh-CN"/>
              </w:rPr>
              <w:t>；</w:t>
            </w:r>
          </w:p>
          <w:p w14:paraId="7590BA0D">
            <w:pPr>
              <w:jc w:val="left"/>
              <w:rPr>
                <w:rFonts w:hint="eastAsia" w:hAnsi="宋体"/>
                <w:color w:val="000000"/>
                <w:sz w:val="24"/>
                <w:lang w:val="en-US" w:eastAsia="zh-CN"/>
              </w:rPr>
            </w:pPr>
            <w:r>
              <w:rPr>
                <w:rFonts w:hint="eastAsia" w:hAnsi="宋体"/>
                <w:color w:val="000000"/>
                <w:sz w:val="24"/>
                <w:lang w:val="en-US" w:eastAsia="zh-CN"/>
              </w:rPr>
              <w:t>1.17.为保障水质安全，</w:t>
            </w:r>
            <w:r>
              <w:rPr>
                <w:rFonts w:hint="eastAsia" w:hAnsi="宋体"/>
                <w:color w:val="000000"/>
                <w:sz w:val="24"/>
                <w:lang w:val="en-US" w:eastAsia="zh"/>
              </w:rPr>
              <w:t>投标产品制造商具有CNAS实验室</w:t>
            </w:r>
            <w:r>
              <w:rPr>
                <w:rFonts w:hint="eastAsia" w:hAnsi="宋体"/>
                <w:color w:val="000000"/>
                <w:sz w:val="24"/>
                <w:lang w:val="en-US" w:eastAsia="zh-CN"/>
              </w:rPr>
              <w:t>（</w:t>
            </w:r>
            <w:r>
              <w:rPr>
                <w:rFonts w:hint="eastAsia" w:hAnsi="宋体"/>
                <w:color w:val="000000"/>
                <w:sz w:val="24"/>
                <w:lang w:val="en-US" w:eastAsia="zh"/>
              </w:rPr>
              <w:t>提供中国合格评定国家认可委员会实验室认可证书复印件及中国合格评定国家认可委员会（CNAS）官网（https://www.cnas.org.cn/）查询截图证明原件备查</w:t>
            </w:r>
            <w:r>
              <w:rPr>
                <w:rFonts w:hint="eastAsia" w:hAnsi="宋体"/>
                <w:color w:val="000000"/>
                <w:sz w:val="24"/>
                <w:lang w:val="en-US" w:eastAsia="zh-CN"/>
              </w:rPr>
              <w:t>）</w:t>
            </w:r>
            <w:r>
              <w:rPr>
                <w:rFonts w:hint="eastAsia" w:hAnsi="宋体"/>
                <w:color w:val="000000"/>
                <w:sz w:val="24"/>
                <w:lang w:val="en-US" w:eastAsia="zh"/>
              </w:rPr>
              <w:t>；</w:t>
            </w:r>
            <w:r>
              <w:rPr>
                <w:rFonts w:hint="eastAsia" w:hAnsi="宋体"/>
                <w:color w:val="000000"/>
                <w:sz w:val="24"/>
                <w:lang w:val="en-US" w:eastAsia="zh-CN"/>
              </w:rPr>
              <w:t>须同时具备</w:t>
            </w:r>
            <w:r>
              <w:rPr>
                <w:rFonts w:hint="eastAsia" w:hAnsi="宋体"/>
                <w:color w:val="000000"/>
                <w:sz w:val="24"/>
                <w:lang w:val="en-US" w:eastAsia="zh"/>
              </w:rPr>
              <w:t>水质化验分析能力</w:t>
            </w:r>
            <w:r>
              <w:rPr>
                <w:rFonts w:hint="eastAsia" w:hAnsi="宋体"/>
                <w:color w:val="000000"/>
                <w:sz w:val="24"/>
                <w:lang w:val="en-US" w:eastAsia="zh-CN"/>
              </w:rPr>
              <w:t>，</w:t>
            </w:r>
            <w:r>
              <w:rPr>
                <w:rFonts w:hint="eastAsia" w:hAnsi="宋体"/>
                <w:color w:val="000000"/>
                <w:sz w:val="24"/>
                <w:lang w:val="en-US" w:eastAsia="zh"/>
              </w:rPr>
              <w:t>具</w:t>
            </w:r>
            <w:r>
              <w:rPr>
                <w:rFonts w:hint="eastAsia" w:hAnsi="宋体"/>
                <w:color w:val="000000"/>
                <w:sz w:val="24"/>
                <w:lang w:val="en-US" w:eastAsia="zh-CN"/>
              </w:rPr>
              <w:t>有</w:t>
            </w:r>
            <w:r>
              <w:rPr>
                <w:rFonts w:hint="eastAsia" w:hAnsi="宋体"/>
                <w:color w:val="000000"/>
                <w:sz w:val="24"/>
                <w:lang w:val="en-US" w:eastAsia="zh"/>
              </w:rPr>
              <w:t>原子吸收光谱仪</w:t>
            </w:r>
            <w:r>
              <w:rPr>
                <w:rFonts w:hint="eastAsia" w:hAnsi="宋体"/>
                <w:color w:val="000000"/>
                <w:sz w:val="24"/>
                <w:lang w:val="en-US" w:eastAsia="zh-CN"/>
              </w:rPr>
              <w:t>、</w:t>
            </w:r>
            <w:r>
              <w:rPr>
                <w:rFonts w:hint="eastAsia" w:hAnsi="宋体"/>
                <w:color w:val="000000"/>
                <w:sz w:val="24"/>
                <w:lang w:val="en-US" w:eastAsia="zh"/>
              </w:rPr>
              <w:t>紫外-可见分光光度计</w:t>
            </w:r>
            <w:r>
              <w:rPr>
                <w:rFonts w:hint="eastAsia" w:hAnsi="宋体"/>
                <w:color w:val="000000"/>
                <w:sz w:val="24"/>
                <w:lang w:val="en-US" w:eastAsia="zh-CN"/>
              </w:rPr>
              <w:t>、</w:t>
            </w:r>
            <w:r>
              <w:rPr>
                <w:rFonts w:hint="eastAsia" w:hAnsi="宋体"/>
                <w:color w:val="000000"/>
                <w:sz w:val="24"/>
                <w:lang w:val="en-US" w:eastAsia="zh"/>
              </w:rPr>
              <w:t>气相色谱质</w:t>
            </w:r>
            <w:r>
              <w:rPr>
                <w:rFonts w:hint="eastAsia" w:hAnsi="宋体"/>
                <w:color w:val="000000"/>
                <w:sz w:val="24"/>
                <w:lang w:val="en-US" w:eastAsia="zh-CN"/>
              </w:rPr>
              <w:t>-</w:t>
            </w:r>
            <w:r>
              <w:rPr>
                <w:rFonts w:hint="eastAsia" w:hAnsi="宋体"/>
                <w:color w:val="000000"/>
                <w:sz w:val="24"/>
                <w:lang w:val="en-US" w:eastAsia="zh"/>
              </w:rPr>
              <w:t>谱联用仪</w:t>
            </w:r>
            <w:r>
              <w:rPr>
                <w:rFonts w:hint="eastAsia" w:hAnsi="宋体"/>
                <w:color w:val="000000"/>
                <w:sz w:val="24"/>
                <w:lang w:val="en-US" w:eastAsia="zh-CN"/>
              </w:rPr>
              <w:t>、</w:t>
            </w:r>
            <w:r>
              <w:rPr>
                <w:rFonts w:hint="eastAsia" w:hAnsi="宋体"/>
                <w:color w:val="000000"/>
                <w:sz w:val="24"/>
                <w:lang w:val="en-US" w:eastAsia="zh"/>
              </w:rPr>
              <w:t>总有机碳测定仪</w:t>
            </w:r>
            <w:r>
              <w:rPr>
                <w:rFonts w:hint="eastAsia" w:hAnsi="宋体"/>
                <w:color w:val="000000"/>
                <w:sz w:val="24"/>
                <w:lang w:val="en-US" w:eastAsia="zh-CN"/>
              </w:rPr>
              <w:t>等水质检测设备（</w:t>
            </w:r>
            <w:r>
              <w:rPr>
                <w:rFonts w:hint="eastAsia" w:hAnsi="宋体"/>
                <w:color w:val="000000"/>
                <w:sz w:val="24"/>
                <w:lang w:val="en-US" w:eastAsia="zh"/>
              </w:rPr>
              <w:t>提供</w:t>
            </w:r>
            <w:r>
              <w:rPr>
                <w:rFonts w:hint="eastAsia" w:hAnsi="宋体"/>
                <w:color w:val="000000"/>
                <w:sz w:val="24"/>
                <w:lang w:val="en-US" w:eastAsia="zh-CN"/>
              </w:rPr>
              <w:t>委托单位与投标产品生产单位名称一致的</w:t>
            </w:r>
            <w:r>
              <w:rPr>
                <w:rFonts w:hint="eastAsia" w:hAnsi="宋体"/>
                <w:color w:val="000000"/>
                <w:sz w:val="24"/>
                <w:lang w:val="en-US" w:eastAsia="zh"/>
              </w:rPr>
              <w:t>相关设备仪器有效校准证书等证明文件扫描件</w:t>
            </w:r>
            <w:r>
              <w:rPr>
                <w:rFonts w:hint="eastAsia" w:hAnsi="宋体"/>
                <w:color w:val="000000"/>
                <w:sz w:val="24"/>
                <w:lang w:val="en-US" w:eastAsia="zh-CN"/>
              </w:rPr>
              <w:t>），</w:t>
            </w:r>
            <w:r>
              <w:rPr>
                <w:rFonts w:hint="eastAsia" w:hAnsi="宋体"/>
                <w:color w:val="000000"/>
                <w:sz w:val="24"/>
                <w:lang w:val="en-US" w:eastAsia="zh"/>
              </w:rPr>
              <w:t>以上资料均要求提供扫描件加盖投标人公章，原件备查</w:t>
            </w:r>
            <w:r>
              <w:rPr>
                <w:rFonts w:hint="eastAsia" w:hAnsi="宋体"/>
                <w:color w:val="000000"/>
                <w:sz w:val="24"/>
                <w:lang w:val="en-US" w:eastAsia="zh-CN"/>
              </w:rPr>
              <w:t>；</w:t>
            </w:r>
          </w:p>
          <w:p w14:paraId="5E17D481">
            <w:pPr>
              <w:jc w:val="left"/>
              <w:rPr>
                <w:rFonts w:hint="eastAsia" w:hAnsi="宋体"/>
                <w:color w:val="000000"/>
                <w:sz w:val="24"/>
                <w:lang w:val="en-US" w:eastAsia="zh-CN"/>
              </w:rPr>
            </w:pPr>
            <w:r>
              <w:rPr>
                <w:rFonts w:hint="eastAsia" w:hAnsi="宋体"/>
                <w:color w:val="000000"/>
                <w:sz w:val="24"/>
                <w:lang w:val="en-US" w:eastAsia="zh-CN"/>
              </w:rPr>
              <w:t>1.18.</w:t>
            </w:r>
            <w:r>
              <w:rPr>
                <w:rFonts w:hint="eastAsia" w:hAnsi="宋体"/>
                <w:color w:val="000000"/>
                <w:sz w:val="24"/>
                <w:lang w:val="en-US" w:eastAsia="zh"/>
                <w:woUserID w:val="1"/>
              </w:rPr>
              <w:t>配备</w:t>
            </w:r>
            <w:r>
              <w:rPr>
                <w:rFonts w:hint="eastAsia" w:hAnsi="宋体"/>
                <w:color w:val="000000"/>
                <w:sz w:val="24"/>
                <w:lang w:val="en-US" w:eastAsia="zh-CN"/>
              </w:rPr>
              <w:t>项目专职服务人员</w:t>
            </w:r>
            <w:r>
              <w:rPr>
                <w:rFonts w:hint="eastAsia" w:hAnsi="宋体"/>
                <w:color w:val="000000"/>
                <w:sz w:val="24"/>
                <w:lang w:val="en-US" w:eastAsia="zh"/>
                <w:woUserID w:val="1"/>
              </w:rPr>
              <w:t>至少1人，</w:t>
            </w:r>
            <w:r>
              <w:rPr>
                <w:rFonts w:hint="eastAsia" w:hAnsi="宋体"/>
                <w:color w:val="000000"/>
                <w:sz w:val="24"/>
                <w:lang w:val="en-US" w:eastAsia="zh-CN"/>
              </w:rPr>
              <w:t>须为投标人自有员工且具备健康证、低压电工作业证书及投标设备品牌厂家颁发的服务技能资格证书（提供投标人缴纳的近三个月（202</w:t>
            </w:r>
            <w:r>
              <w:rPr>
                <w:rFonts w:hint="eastAsia" w:hAnsi="宋体"/>
                <w:color w:val="000000"/>
                <w:sz w:val="24"/>
                <w:lang w:val="en-US" w:eastAsia="zh"/>
                <w:woUserID w:val="2"/>
              </w:rPr>
              <w:t>5</w:t>
            </w:r>
            <w:r>
              <w:rPr>
                <w:rFonts w:hint="eastAsia" w:hAnsi="宋体"/>
                <w:color w:val="000000"/>
                <w:sz w:val="24"/>
                <w:lang w:val="en-US" w:eastAsia="zh-CN"/>
              </w:rPr>
              <w:t>年</w:t>
            </w:r>
            <w:r>
              <w:rPr>
                <w:rFonts w:hint="eastAsia" w:hAnsi="宋体"/>
                <w:color w:val="000000"/>
                <w:sz w:val="24"/>
                <w:lang w:val="en-US" w:eastAsia="zh"/>
                <w:woUserID w:val="2"/>
              </w:rPr>
              <w:t>6</w:t>
            </w:r>
            <w:r>
              <w:rPr>
                <w:rFonts w:hint="eastAsia" w:hAnsi="宋体"/>
                <w:color w:val="000000"/>
                <w:sz w:val="24"/>
                <w:lang w:val="en-US" w:eastAsia="zh-CN"/>
              </w:rPr>
              <w:t>月到</w:t>
            </w:r>
            <w:r>
              <w:rPr>
                <w:rFonts w:hint="eastAsia" w:hAnsi="宋体"/>
                <w:color w:val="000000"/>
                <w:sz w:val="24"/>
                <w:lang w:val="en-US" w:eastAsia="zh"/>
                <w:woUserID w:val="2"/>
              </w:rPr>
              <w:t>9</w:t>
            </w:r>
            <w:r>
              <w:rPr>
                <w:rFonts w:hint="eastAsia" w:hAnsi="宋体"/>
                <w:color w:val="000000"/>
                <w:sz w:val="24"/>
                <w:lang w:val="en-US" w:eastAsia="zh-CN"/>
              </w:rPr>
              <w:t>月）的任意一个月的社</w:t>
            </w:r>
            <w:r>
              <w:rPr>
                <w:rFonts w:hint="eastAsia" w:hAnsi="宋体"/>
                <w:color w:val="000000"/>
                <w:sz w:val="24"/>
                <w:lang w:val="en-US" w:eastAsia="zh"/>
              </w:rPr>
              <w:t>保证明作为本单位员工的证明依据</w:t>
            </w:r>
            <w:r>
              <w:rPr>
                <w:rFonts w:hint="eastAsia" w:hAnsi="宋体"/>
                <w:color w:val="000000"/>
                <w:sz w:val="24"/>
                <w:lang w:val="en-US" w:eastAsia="zh-CN"/>
              </w:rPr>
              <w:t>，同时提供相关</w:t>
            </w:r>
            <w:r>
              <w:rPr>
                <w:rFonts w:hint="eastAsia" w:hAnsi="宋体"/>
                <w:color w:val="000000"/>
                <w:sz w:val="24"/>
                <w:lang w:val="en-US" w:eastAsia="zh"/>
              </w:rPr>
              <w:t>证书扫描件，原件备查</w:t>
            </w:r>
            <w:r>
              <w:rPr>
                <w:rFonts w:hint="eastAsia" w:hAnsi="宋体"/>
                <w:color w:val="000000"/>
                <w:sz w:val="24"/>
                <w:lang w:val="en-US" w:eastAsia="zh-CN"/>
              </w:rPr>
              <w:t>）；</w:t>
            </w:r>
          </w:p>
          <w:p w14:paraId="18ED013C">
            <w:pPr>
              <w:jc w:val="left"/>
              <w:rPr>
                <w:rFonts w:hint="eastAsia" w:hAnsi="宋体"/>
                <w:color w:val="000000"/>
                <w:sz w:val="24"/>
                <w:lang w:val="en-US" w:eastAsia="zh-CN"/>
              </w:rPr>
            </w:pPr>
            <w:r>
              <w:rPr>
                <w:rFonts w:hint="eastAsia" w:hAnsi="宋体"/>
                <w:color w:val="000000"/>
                <w:sz w:val="24"/>
                <w:lang w:val="en-US" w:eastAsia="zh-CN"/>
              </w:rPr>
              <w:t>1.19.服务时效：紧急故障4小时内上门，常规检修及保养24小时内上门，超过48小时未能修复，需免费提供备用机；</w:t>
            </w:r>
          </w:p>
          <w:p w14:paraId="14036F08">
            <w:pPr>
              <w:jc w:val="left"/>
              <w:rPr>
                <w:rFonts w:hint="default" w:hAnsi="宋体"/>
                <w:color w:val="000000"/>
                <w:sz w:val="24"/>
                <w:lang w:val="en-US" w:eastAsia="zh-CN"/>
              </w:rPr>
            </w:pPr>
            <w:r>
              <w:rPr>
                <w:rFonts w:hint="eastAsia" w:hAnsi="宋体"/>
                <w:color w:val="000000"/>
                <w:sz w:val="24"/>
                <w:lang w:val="en-US" w:eastAsia="zh-CN"/>
              </w:rPr>
              <w:t>1.20.保修三年，保修期内每月巡检服务，巡检内容应包括：检查每台机器水电等管路是否正常；检查机器制水、加热等功能是否正常；检查机器内部是否有故障，如开关、按钮失灵、漏水等；对机器进行擦拭，保证饮水机的整洁；检测出水TDS值，保证10以下。</w:t>
            </w:r>
          </w:p>
        </w:tc>
      </w:tr>
      <w:tr w14:paraId="65425F5B">
        <w:tblPrEx>
          <w:tblCellMar>
            <w:top w:w="0" w:type="dxa"/>
            <w:left w:w="108" w:type="dxa"/>
            <w:bottom w:w="0" w:type="dxa"/>
            <w:right w:w="108" w:type="dxa"/>
          </w:tblCellMar>
        </w:tblPrEx>
        <w:trPr>
          <w:trHeight w:val="402" w:hRule="atLeast"/>
          <w:jc w:val="center"/>
        </w:trPr>
        <w:tc>
          <w:tcPr>
            <w:tcW w:w="800" w:type="dxa"/>
            <w:tcBorders>
              <w:top w:val="nil"/>
              <w:left w:val="single" w:color="auto" w:sz="4" w:space="0"/>
              <w:bottom w:val="single" w:color="auto" w:sz="4" w:space="0"/>
              <w:right w:val="single" w:color="auto" w:sz="4" w:space="0"/>
            </w:tcBorders>
            <w:noWrap/>
            <w:vAlign w:val="center"/>
          </w:tcPr>
          <w:p w14:paraId="5973F6A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646" w:type="dxa"/>
            <w:tcBorders>
              <w:top w:val="nil"/>
              <w:left w:val="nil"/>
              <w:bottom w:val="single" w:color="auto" w:sz="4" w:space="0"/>
              <w:right w:val="single" w:color="auto" w:sz="4" w:space="0"/>
            </w:tcBorders>
            <w:noWrap/>
            <w:vAlign w:val="center"/>
          </w:tcPr>
          <w:p w14:paraId="1A7E383D">
            <w:pPr>
              <w:jc w:val="left"/>
              <w:rPr>
                <w:rFonts w:hint="eastAsia" w:hAnsi="宋体"/>
                <w:color w:val="000000"/>
                <w:sz w:val="24"/>
                <w:lang w:val="en-US" w:eastAsia="zh"/>
              </w:rPr>
            </w:pPr>
            <w:r>
              <w:rPr>
                <w:rFonts w:hint="eastAsia" w:hAnsi="宋体"/>
                <w:color w:val="000000"/>
                <w:sz w:val="24"/>
                <w:lang w:val="en-US" w:eastAsia="zh"/>
              </w:rPr>
              <w:t>双龙头立</w:t>
            </w:r>
            <w:r>
              <w:rPr>
                <w:rFonts w:hint="eastAsia" w:hAnsi="宋体"/>
                <w:color w:val="000000"/>
                <w:sz w:val="24"/>
                <w:lang w:val="en-US" w:eastAsia="zh-CN"/>
              </w:rPr>
              <w:t>式管线末端饮水</w:t>
            </w:r>
            <w:r>
              <w:rPr>
                <w:rFonts w:hint="eastAsia" w:hAnsi="宋体"/>
                <w:color w:val="000000"/>
                <w:sz w:val="24"/>
                <w:lang w:val="en-US" w:eastAsia="zh"/>
              </w:rPr>
              <w:t>机</w:t>
            </w:r>
            <w:r>
              <w:rPr>
                <w:rFonts w:hint="eastAsia" w:hAnsi="宋体"/>
                <w:color w:val="000000"/>
                <w:sz w:val="24"/>
                <w:lang w:val="en-US" w:eastAsia="zh-CN"/>
              </w:rPr>
              <w:t>（配置数量2台）</w:t>
            </w:r>
          </w:p>
        </w:tc>
        <w:tc>
          <w:tcPr>
            <w:tcW w:w="7817" w:type="dxa"/>
            <w:tcBorders>
              <w:top w:val="nil"/>
              <w:left w:val="nil"/>
              <w:bottom w:val="single" w:color="auto" w:sz="4" w:space="0"/>
              <w:right w:val="single" w:color="auto" w:sz="4" w:space="0"/>
            </w:tcBorders>
          </w:tcPr>
          <w:p w14:paraId="076C0277">
            <w:pPr>
              <w:pStyle w:val="9"/>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.整机采用耐指纹面板，积水盘采用304不锈钢材质，加网设计并具有自动排水功能；</w:t>
            </w:r>
          </w:p>
          <w:p w14:paraId="001C2D53">
            <w:pPr>
              <w:pStyle w:val="9"/>
              <w:adjustRightInd w:val="0"/>
              <w:snapToGrid w:val="0"/>
              <w:spacing w:line="360" w:lineRule="auto"/>
              <w:jc w:val="left"/>
              <w:rPr>
                <w:rFonts w:hint="eastAsia" w:ascii="宋体" w:hAnsi="宋体" w:cs="宋体" w:eastAsiaTheme="minorEastAsia"/>
                <w:sz w:val="21"/>
                <w:szCs w:val="21"/>
                <w:lang w:eastAsia="zh-CN"/>
              </w:rPr>
            </w:pPr>
            <w:r>
              <w:rPr>
                <w:rFonts w:hint="eastAsia" w:ascii="宋体" w:hAnsi="宋体" w:eastAsia="宋体" w:cs="宋体"/>
                <w:sz w:val="21"/>
                <w:szCs w:val="21"/>
                <w:lang w:val="en-US" w:eastAsia="zh-CN"/>
              </w:rPr>
              <w:t>2.2.</w:t>
            </w:r>
            <w:r>
              <w:rPr>
                <w:rFonts w:hint="eastAsia" w:hAnsi="宋体"/>
                <w:color w:val="000000"/>
                <w:sz w:val="24"/>
                <w:lang w:val="en-US" w:eastAsia="zh"/>
              </w:rPr>
              <w:t>机身尺寸：宽420mm(±30mm)*厚450mm(±30mm)*高1450mm(±30mm)，（提供产品宣传彩页或说明书扫描件证明，原件备查）</w:t>
            </w:r>
            <w:r>
              <w:rPr>
                <w:rFonts w:hint="eastAsia" w:hAnsi="宋体"/>
                <w:color w:val="000000"/>
                <w:sz w:val="24"/>
                <w:lang w:val="en-US" w:eastAsia="zh-CN"/>
              </w:rPr>
              <w:t>；</w:t>
            </w:r>
          </w:p>
          <w:p w14:paraId="42C527F4">
            <w:pPr>
              <w:pStyle w:val="9"/>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出水口底部距接水盘高度≥295mm；</w:t>
            </w:r>
          </w:p>
          <w:p w14:paraId="52873CB2">
            <w:pPr>
              <w:pStyle w:val="9"/>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电源：220V/50Hz</w:t>
            </w:r>
            <w:r>
              <w:rPr>
                <w:rFonts w:hint="eastAsia" w:ascii="宋体" w:hAnsi="宋体" w:eastAsia="宋体" w:cs="宋体"/>
                <w:sz w:val="21"/>
                <w:szCs w:val="21"/>
                <w:lang w:eastAsia="zh-CN"/>
              </w:rPr>
              <w:t>，</w:t>
            </w:r>
            <w:r>
              <w:rPr>
                <w:rFonts w:hint="eastAsia" w:ascii="宋体" w:hAnsi="宋体" w:eastAsia="宋体" w:cs="宋体"/>
                <w:sz w:val="21"/>
                <w:szCs w:val="21"/>
              </w:rPr>
              <w:t>加热功率：≤1800W；</w:t>
            </w:r>
          </w:p>
          <w:p w14:paraId="5EBA0DB3">
            <w:pPr>
              <w:pStyle w:val="9"/>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制</w:t>
            </w:r>
            <w:r>
              <w:rPr>
                <w:rFonts w:hint="eastAsia" w:ascii="宋体" w:hAnsi="宋体" w:eastAsia="宋体" w:cs="宋体"/>
                <w:sz w:val="21"/>
                <w:szCs w:val="21"/>
                <w:lang w:eastAsia="zh"/>
              </w:rPr>
              <w:t>热</w:t>
            </w:r>
            <w:r>
              <w:rPr>
                <w:rFonts w:hint="eastAsia" w:ascii="宋体" w:hAnsi="宋体" w:eastAsia="宋体" w:cs="宋体"/>
                <w:sz w:val="21"/>
                <w:szCs w:val="21"/>
              </w:rPr>
              <w:t>水能力：≥</w:t>
            </w:r>
            <w:r>
              <w:rPr>
                <w:rFonts w:hint="eastAsia" w:ascii="宋体" w:hAnsi="宋体" w:eastAsia="宋体" w:cs="宋体"/>
                <w:sz w:val="21"/>
                <w:szCs w:val="21"/>
                <w:lang w:eastAsia="zh"/>
              </w:rPr>
              <w:t>19</w:t>
            </w:r>
            <w:r>
              <w:rPr>
                <w:rFonts w:hint="eastAsia" w:ascii="宋体" w:hAnsi="宋体" w:eastAsia="宋体" w:cs="宋体"/>
                <w:sz w:val="21"/>
                <w:szCs w:val="21"/>
              </w:rPr>
              <w:t>L/h；</w:t>
            </w:r>
          </w:p>
          <w:p w14:paraId="0148B00B">
            <w:pPr>
              <w:pStyle w:val="9"/>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温水箱：≥10L，热水箱：≥10L；</w:t>
            </w:r>
          </w:p>
          <w:p w14:paraId="020559FD">
            <w:pPr>
              <w:jc w:val="left"/>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水龙头数量≥2个，有隔热防烫设计，有至少一个水龙头可出常温水，热水需有“童锁”设计；</w:t>
            </w:r>
          </w:p>
          <w:p w14:paraId="1983444E">
            <w:pPr>
              <w:pStyle w:val="2"/>
              <w:rPr>
                <w:rFonts w:hint="default" w:eastAsia="宋体"/>
                <w:lang w:val="en-US" w:eastAsia="zh-CN"/>
              </w:rPr>
            </w:pPr>
            <w:r>
              <w:rPr>
                <w:rFonts w:hint="eastAsia" w:ascii="宋体" w:hAnsi="宋体" w:eastAsia="宋体" w:cs="宋体"/>
                <w:b w:val="0"/>
                <w:bCs w:val="0"/>
                <w:sz w:val="21"/>
                <w:szCs w:val="21"/>
                <w:lang w:val="en-US" w:eastAsia="zh-CN"/>
              </w:rPr>
              <w:t>2.8.</w:t>
            </w:r>
            <w:r>
              <w:rPr>
                <w:rFonts w:hint="eastAsia" w:ascii="宋体" w:hAnsi="宋体" w:eastAsia="宋体" w:cs="宋体"/>
                <w:b w:val="0"/>
                <w:bCs w:val="0"/>
                <w:sz w:val="21"/>
                <w:szCs w:val="21"/>
              </w:rPr>
              <w:t>需与本项目需求的</w:t>
            </w:r>
            <w:r>
              <w:rPr>
                <w:rFonts w:hint="eastAsia" w:ascii="宋体" w:hAnsi="宋体" w:eastAsia="宋体" w:cs="宋体"/>
                <w:b w:val="0"/>
                <w:bCs w:val="0"/>
                <w:color w:val="auto"/>
                <w:sz w:val="21"/>
                <w:szCs w:val="21"/>
                <w:lang w:val="en-US" w:eastAsia="zh"/>
              </w:rPr>
              <w:t>双龙头立式</w:t>
            </w:r>
            <w:r>
              <w:rPr>
                <w:rFonts w:hint="eastAsia" w:ascii="宋体" w:hAnsi="宋体" w:eastAsia="宋体" w:cs="宋体"/>
                <w:b w:val="0"/>
                <w:bCs w:val="0"/>
                <w:color w:val="auto"/>
                <w:sz w:val="21"/>
                <w:szCs w:val="21"/>
                <w:lang w:val="en-US" w:eastAsia="zh-CN"/>
              </w:rPr>
              <w:t>净饮</w:t>
            </w:r>
            <w:r>
              <w:rPr>
                <w:rFonts w:hint="eastAsia" w:ascii="宋体" w:hAnsi="宋体" w:eastAsia="宋体" w:cs="宋体"/>
                <w:b w:val="0"/>
                <w:bCs w:val="0"/>
                <w:color w:val="auto"/>
                <w:sz w:val="21"/>
                <w:szCs w:val="21"/>
                <w:lang w:val="en-US" w:eastAsia="zh"/>
              </w:rPr>
              <w:t>一体机</w:t>
            </w:r>
            <w:r>
              <w:rPr>
                <w:rFonts w:hint="eastAsia" w:ascii="宋体" w:hAnsi="宋体" w:eastAsia="宋体" w:cs="宋体"/>
                <w:b w:val="0"/>
                <w:bCs w:val="0"/>
                <w:color w:val="auto"/>
                <w:sz w:val="21"/>
                <w:szCs w:val="21"/>
                <w:lang w:val="en-US" w:eastAsia="zh-CN"/>
              </w:rPr>
              <w:t>为</w:t>
            </w:r>
            <w:r>
              <w:rPr>
                <w:rFonts w:hint="eastAsia" w:ascii="宋体" w:hAnsi="宋体" w:eastAsia="宋体" w:cs="宋体"/>
                <w:b w:val="0"/>
                <w:bCs w:val="0"/>
                <w:sz w:val="21"/>
                <w:szCs w:val="21"/>
              </w:rPr>
              <w:t>同一品牌。</w:t>
            </w:r>
          </w:p>
        </w:tc>
      </w:tr>
    </w:tbl>
    <w:p w14:paraId="5833115C">
      <w:pPr>
        <w:widowControl/>
        <w:jc w:val="left"/>
        <w:rPr>
          <w:rFonts w:hint="eastAsia" w:ascii="宋体" w:hAnsi="宋体" w:eastAsia="宋体"/>
          <w:sz w:val="32"/>
          <w:szCs w:val="32"/>
        </w:rPr>
      </w:pPr>
    </w:p>
    <w:p w14:paraId="1EA5A728">
      <w:pPr>
        <w:widowControl/>
        <w:jc w:val="left"/>
        <w:rPr>
          <w:rFonts w:hint="eastAsia" w:ascii="宋体" w:hAnsi="宋体" w:eastAsia="宋体"/>
          <w:sz w:val="32"/>
          <w:szCs w:val="32"/>
        </w:rPr>
      </w:pPr>
    </w:p>
    <w:p w14:paraId="2E8A7149">
      <w:pPr>
        <w:widowControl/>
        <w:jc w:val="left"/>
        <w:rPr>
          <w:rFonts w:hint="eastAsia" w:ascii="宋体" w:hAnsi="宋体" w:eastAsia="宋体"/>
          <w:sz w:val="32"/>
          <w:szCs w:val="32"/>
        </w:rPr>
      </w:pPr>
    </w:p>
    <w:p w14:paraId="07AA2F51">
      <w:pPr>
        <w:widowControl/>
        <w:jc w:val="left"/>
        <w:rPr>
          <w:rFonts w:hint="eastAsia" w:ascii="宋体" w:hAnsi="宋体" w:eastAsia="宋体"/>
          <w:sz w:val="32"/>
          <w:szCs w:val="32"/>
        </w:rPr>
      </w:pPr>
    </w:p>
    <w:p w14:paraId="5CEC38DB">
      <w:pPr>
        <w:widowControl/>
        <w:jc w:val="left"/>
        <w:rPr>
          <w:rFonts w:hint="eastAsia" w:ascii="宋体" w:hAnsi="宋体" w:eastAsia="宋体"/>
          <w:sz w:val="32"/>
          <w:szCs w:val="32"/>
        </w:rPr>
      </w:pPr>
    </w:p>
    <w:p w14:paraId="67F5EE6B">
      <w:pPr>
        <w:widowControl/>
        <w:jc w:val="left"/>
        <w:rPr>
          <w:rFonts w:hint="eastAsia" w:ascii="宋体" w:hAnsi="宋体" w:eastAsia="宋体"/>
          <w:sz w:val="32"/>
          <w:szCs w:val="32"/>
        </w:rPr>
      </w:pPr>
    </w:p>
    <w:p w14:paraId="04D163D2">
      <w:pPr>
        <w:widowControl/>
        <w:jc w:val="left"/>
        <w:rPr>
          <w:rFonts w:hint="eastAsia" w:ascii="宋体" w:hAnsi="宋体" w:eastAsia="宋体"/>
          <w:sz w:val="32"/>
          <w:szCs w:val="32"/>
        </w:rPr>
      </w:pPr>
    </w:p>
    <w:p w14:paraId="173E1B18">
      <w:pPr>
        <w:widowControl/>
        <w:jc w:val="left"/>
        <w:rPr>
          <w:rFonts w:hint="eastAsia" w:ascii="宋体" w:hAnsi="宋体" w:eastAsia="宋体"/>
          <w:sz w:val="32"/>
          <w:szCs w:val="32"/>
        </w:rPr>
      </w:pPr>
    </w:p>
    <w:p w14:paraId="348FE323">
      <w:pPr>
        <w:widowControl/>
        <w:jc w:val="left"/>
        <w:rPr>
          <w:rFonts w:hint="eastAsia" w:ascii="宋体" w:hAnsi="宋体" w:eastAsia="宋体"/>
          <w:sz w:val="32"/>
          <w:szCs w:val="32"/>
        </w:rPr>
      </w:pPr>
    </w:p>
    <w:sectPr>
      <w:headerReference r:id="rId3" w:type="default"/>
      <w:pgSz w:w="11906" w:h="16838"/>
      <w:pgMar w:top="1135" w:right="1274"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EE6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Dc0MDJjNmQ2N2E1OTAwY2RmODYwMmRmMzdjM2YifQ=="/>
  </w:docVars>
  <w:rsids>
    <w:rsidRoot w:val="00460C51"/>
    <w:rsid w:val="00003221"/>
    <w:rsid w:val="000172D8"/>
    <w:rsid w:val="000B5727"/>
    <w:rsid w:val="001142DD"/>
    <w:rsid w:val="00127487"/>
    <w:rsid w:val="00132B21"/>
    <w:rsid w:val="00150372"/>
    <w:rsid w:val="00164A08"/>
    <w:rsid w:val="00172A52"/>
    <w:rsid w:val="0018584B"/>
    <w:rsid w:val="00185D17"/>
    <w:rsid w:val="00187D55"/>
    <w:rsid w:val="00196855"/>
    <w:rsid w:val="001A1F7F"/>
    <w:rsid w:val="001A589F"/>
    <w:rsid w:val="001B6929"/>
    <w:rsid w:val="001E2A90"/>
    <w:rsid w:val="001E2BF2"/>
    <w:rsid w:val="001F36F5"/>
    <w:rsid w:val="001F4348"/>
    <w:rsid w:val="001F4EDE"/>
    <w:rsid w:val="00221786"/>
    <w:rsid w:val="0023791E"/>
    <w:rsid w:val="002972AE"/>
    <w:rsid w:val="002A4C65"/>
    <w:rsid w:val="002F1E0F"/>
    <w:rsid w:val="00313D25"/>
    <w:rsid w:val="00350193"/>
    <w:rsid w:val="003527F9"/>
    <w:rsid w:val="00354228"/>
    <w:rsid w:val="0036323D"/>
    <w:rsid w:val="0037101B"/>
    <w:rsid w:val="003A175D"/>
    <w:rsid w:val="003A76AE"/>
    <w:rsid w:val="003B310B"/>
    <w:rsid w:val="003D39A4"/>
    <w:rsid w:val="003E7212"/>
    <w:rsid w:val="00442B45"/>
    <w:rsid w:val="004464DE"/>
    <w:rsid w:val="00454494"/>
    <w:rsid w:val="00460C51"/>
    <w:rsid w:val="004A1B47"/>
    <w:rsid w:val="004A25B4"/>
    <w:rsid w:val="004D1C37"/>
    <w:rsid w:val="004E6524"/>
    <w:rsid w:val="004F676B"/>
    <w:rsid w:val="005306D2"/>
    <w:rsid w:val="00547A1F"/>
    <w:rsid w:val="00550ADB"/>
    <w:rsid w:val="005621D0"/>
    <w:rsid w:val="005710B6"/>
    <w:rsid w:val="005B54E8"/>
    <w:rsid w:val="005F5EF4"/>
    <w:rsid w:val="00603EC4"/>
    <w:rsid w:val="006160D8"/>
    <w:rsid w:val="00622CF8"/>
    <w:rsid w:val="006731F9"/>
    <w:rsid w:val="00692A75"/>
    <w:rsid w:val="006935E9"/>
    <w:rsid w:val="00697F3A"/>
    <w:rsid w:val="006A4A8C"/>
    <w:rsid w:val="006B2CA9"/>
    <w:rsid w:val="006B7845"/>
    <w:rsid w:val="006C3307"/>
    <w:rsid w:val="006E3606"/>
    <w:rsid w:val="006F017C"/>
    <w:rsid w:val="00712FBC"/>
    <w:rsid w:val="007214C0"/>
    <w:rsid w:val="0075055F"/>
    <w:rsid w:val="00751913"/>
    <w:rsid w:val="0075513B"/>
    <w:rsid w:val="0077104C"/>
    <w:rsid w:val="00787A36"/>
    <w:rsid w:val="00796C8A"/>
    <w:rsid w:val="00797108"/>
    <w:rsid w:val="007A28A5"/>
    <w:rsid w:val="007B45EC"/>
    <w:rsid w:val="007C250D"/>
    <w:rsid w:val="007C6176"/>
    <w:rsid w:val="007F2D24"/>
    <w:rsid w:val="00801B8C"/>
    <w:rsid w:val="00802B47"/>
    <w:rsid w:val="00805F03"/>
    <w:rsid w:val="008103AD"/>
    <w:rsid w:val="0081136B"/>
    <w:rsid w:val="00821FDA"/>
    <w:rsid w:val="00835BD6"/>
    <w:rsid w:val="00843A40"/>
    <w:rsid w:val="00865ABF"/>
    <w:rsid w:val="008804D9"/>
    <w:rsid w:val="00893640"/>
    <w:rsid w:val="00895DCE"/>
    <w:rsid w:val="008C1F5B"/>
    <w:rsid w:val="008E7427"/>
    <w:rsid w:val="00906B50"/>
    <w:rsid w:val="0092071E"/>
    <w:rsid w:val="00922099"/>
    <w:rsid w:val="0092789B"/>
    <w:rsid w:val="00940426"/>
    <w:rsid w:val="00953B52"/>
    <w:rsid w:val="009728A4"/>
    <w:rsid w:val="00987FB0"/>
    <w:rsid w:val="009972D9"/>
    <w:rsid w:val="00997E05"/>
    <w:rsid w:val="009A346D"/>
    <w:rsid w:val="009C00A8"/>
    <w:rsid w:val="009D7319"/>
    <w:rsid w:val="009E631C"/>
    <w:rsid w:val="009F2284"/>
    <w:rsid w:val="009F3305"/>
    <w:rsid w:val="00A124FF"/>
    <w:rsid w:val="00A13660"/>
    <w:rsid w:val="00A35387"/>
    <w:rsid w:val="00A409EF"/>
    <w:rsid w:val="00A7422A"/>
    <w:rsid w:val="00AA17D9"/>
    <w:rsid w:val="00AA1E0A"/>
    <w:rsid w:val="00AD67C1"/>
    <w:rsid w:val="00AE4BAB"/>
    <w:rsid w:val="00AF59E2"/>
    <w:rsid w:val="00B12509"/>
    <w:rsid w:val="00B153DD"/>
    <w:rsid w:val="00B413D3"/>
    <w:rsid w:val="00B80860"/>
    <w:rsid w:val="00B80879"/>
    <w:rsid w:val="00BA7220"/>
    <w:rsid w:val="00BB1709"/>
    <w:rsid w:val="00BD7104"/>
    <w:rsid w:val="00BE12CC"/>
    <w:rsid w:val="00BE445F"/>
    <w:rsid w:val="00BF70C7"/>
    <w:rsid w:val="00C03137"/>
    <w:rsid w:val="00C07A56"/>
    <w:rsid w:val="00C246B3"/>
    <w:rsid w:val="00C2668B"/>
    <w:rsid w:val="00C4411D"/>
    <w:rsid w:val="00C56E0D"/>
    <w:rsid w:val="00C628C2"/>
    <w:rsid w:val="00C62D57"/>
    <w:rsid w:val="00C671FF"/>
    <w:rsid w:val="00C73563"/>
    <w:rsid w:val="00C87897"/>
    <w:rsid w:val="00C91EF7"/>
    <w:rsid w:val="00C93ABB"/>
    <w:rsid w:val="00CA0073"/>
    <w:rsid w:val="00CA6DA6"/>
    <w:rsid w:val="00CC10E7"/>
    <w:rsid w:val="00CC5DE8"/>
    <w:rsid w:val="00CD02E1"/>
    <w:rsid w:val="00CD2CBF"/>
    <w:rsid w:val="00D57419"/>
    <w:rsid w:val="00D726D9"/>
    <w:rsid w:val="00D73C49"/>
    <w:rsid w:val="00D9258E"/>
    <w:rsid w:val="00DC0E9C"/>
    <w:rsid w:val="00DD17E2"/>
    <w:rsid w:val="00DD4700"/>
    <w:rsid w:val="00DD54CC"/>
    <w:rsid w:val="00DE4046"/>
    <w:rsid w:val="00DE7AFA"/>
    <w:rsid w:val="00DF1245"/>
    <w:rsid w:val="00DF3C8B"/>
    <w:rsid w:val="00DF6758"/>
    <w:rsid w:val="00E32CC3"/>
    <w:rsid w:val="00E548ED"/>
    <w:rsid w:val="00E83C0F"/>
    <w:rsid w:val="00E915A2"/>
    <w:rsid w:val="00EA2295"/>
    <w:rsid w:val="00EB3E23"/>
    <w:rsid w:val="00ED2D97"/>
    <w:rsid w:val="00ED34BA"/>
    <w:rsid w:val="00EF475D"/>
    <w:rsid w:val="00EF4E22"/>
    <w:rsid w:val="00F24718"/>
    <w:rsid w:val="00F564EF"/>
    <w:rsid w:val="00F60C10"/>
    <w:rsid w:val="00F61453"/>
    <w:rsid w:val="00F8356F"/>
    <w:rsid w:val="00F9335B"/>
    <w:rsid w:val="00F935CE"/>
    <w:rsid w:val="00FD55F0"/>
    <w:rsid w:val="00FF5F86"/>
    <w:rsid w:val="048E0921"/>
    <w:rsid w:val="05052B5C"/>
    <w:rsid w:val="07F11310"/>
    <w:rsid w:val="09EA1202"/>
    <w:rsid w:val="0BE15993"/>
    <w:rsid w:val="11152366"/>
    <w:rsid w:val="125A579A"/>
    <w:rsid w:val="126A2752"/>
    <w:rsid w:val="137C32B1"/>
    <w:rsid w:val="13AF02F0"/>
    <w:rsid w:val="14F956C1"/>
    <w:rsid w:val="158C14E9"/>
    <w:rsid w:val="1A287CC4"/>
    <w:rsid w:val="1CF51AD0"/>
    <w:rsid w:val="1D725739"/>
    <w:rsid w:val="20DE3562"/>
    <w:rsid w:val="24681644"/>
    <w:rsid w:val="248E22FA"/>
    <w:rsid w:val="25010D30"/>
    <w:rsid w:val="25EA0FC1"/>
    <w:rsid w:val="2EC903CF"/>
    <w:rsid w:val="30483099"/>
    <w:rsid w:val="31903399"/>
    <w:rsid w:val="37F55FB2"/>
    <w:rsid w:val="3B047B6E"/>
    <w:rsid w:val="3E1A3557"/>
    <w:rsid w:val="3FE71217"/>
    <w:rsid w:val="402D7BFE"/>
    <w:rsid w:val="4340669E"/>
    <w:rsid w:val="4EC23B36"/>
    <w:rsid w:val="523711E5"/>
    <w:rsid w:val="5283594F"/>
    <w:rsid w:val="548579CA"/>
    <w:rsid w:val="61952879"/>
    <w:rsid w:val="641B5FDA"/>
    <w:rsid w:val="66813AC2"/>
    <w:rsid w:val="66B85B42"/>
    <w:rsid w:val="66F51579"/>
    <w:rsid w:val="6A233F2A"/>
    <w:rsid w:val="6BFE1924"/>
    <w:rsid w:val="6C771E40"/>
    <w:rsid w:val="6FF037B3"/>
    <w:rsid w:val="73F89B20"/>
    <w:rsid w:val="74D51319"/>
    <w:rsid w:val="77184E97"/>
    <w:rsid w:val="7A931A9B"/>
    <w:rsid w:val="D2B9AB5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next w:val="1"/>
    <w:link w:val="19"/>
    <w:qFormat/>
    <w:uiPriority w:val="0"/>
    <w:pPr>
      <w:keepNext/>
      <w:keepLines/>
      <w:spacing w:line="374" w:lineRule="auto"/>
      <w:outlineLvl w:val="3"/>
    </w:pPr>
    <w:rPr>
      <w:rFonts w:ascii="Arial" w:hAnsi="Arial" w:eastAsia="黑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annotation text"/>
    <w:basedOn w:val="1"/>
    <w:link w:val="18"/>
    <w:qFormat/>
    <w:uiPriority w:val="0"/>
    <w:pPr>
      <w:jc w:val="left"/>
    </w:pPr>
    <w:rPr>
      <w:rFonts w:ascii="Times New Roman" w:hAnsi="Times New Roman" w:eastAsia="宋体" w:cs="Times New Roman"/>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360" w:lineRule="auto"/>
    </w:pPr>
    <w:rPr>
      <w:sz w:val="24"/>
    </w:rPr>
  </w:style>
  <w:style w:type="paragraph" w:styleId="9">
    <w:name w:val="Normal (Web)"/>
    <w:basedOn w:val="1"/>
    <w:qFormat/>
    <w:uiPriority w:val="99"/>
    <w:rPr>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2"/>
    <w:link w:val="4"/>
    <w:qFormat/>
    <w:uiPriority w:val="0"/>
    <w:rPr>
      <w:rFonts w:ascii="Times New Roman" w:hAnsi="Times New Roman" w:eastAsia="宋体" w:cs="Times New Roman"/>
      <w:kern w:val="2"/>
      <w:sz w:val="21"/>
    </w:rPr>
  </w:style>
  <w:style w:type="character" w:customStyle="1" w:styleId="19">
    <w:name w:val="标题 4 Char"/>
    <w:link w:val="3"/>
    <w:qFormat/>
    <w:uiPriority w:val="0"/>
    <w:rPr>
      <w:rFonts w:ascii="Arial" w:hAnsi="Arial" w:eastAsia="黑体" w:cs="Times New Roman"/>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1582</Words>
  <Characters>1888</Characters>
  <Lines>19</Lines>
  <Paragraphs>5</Paragraphs>
  <TotalTime>1</TotalTime>
  <ScaleCrop>false</ScaleCrop>
  <LinksUpToDate>false</LinksUpToDate>
  <CharactersWithSpaces>1896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2019-08-03T10:42:00Z</dcterms:created>
  <dc:creator>admin</dc:creator>
  <cp:lastModifiedBy>shelly</cp:lastModifiedBy>
  <cp:lastPrinted>2022-10-10T03:26:00Z</cp:lastPrinted>
  <dcterms:modified xsi:type="dcterms:W3CDTF">2025-09-30T00:57:54Z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F28FF7D715FB4847A1A6785E07428BEC_13</vt:lpwstr>
  </property>
  <property fmtid="{D5CDD505-2E9C-101B-9397-08002B2CF9AE}" pid="4" name="KSOTemplateDocerSaveRecord">
    <vt:lpwstr>eyJoZGlkIjoiNzJkY2YyNjEyZWI2NjA2YTRiMjcxZmZjNDExMGVjNTciLCJ1c2VySWQiOiI2MDQ2NDUyNjMifQ==</vt:lpwstr>
  </property>
</Properties>
</file>