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left"/>
        <w:rPr>
          <w:rFonts w:ascii="仿宋" w:hAnsi="仿宋" w:eastAsia="仿宋" w:cs="仿宋"/>
          <w:b/>
          <w:sz w:val="24"/>
          <w:shd w:val="clear" w:color="auto" w:fill="FFFFFF"/>
          <w:lang w:bidi="ar"/>
        </w:rPr>
      </w:pPr>
      <w:r>
        <w:rPr>
          <w:rFonts w:hint="eastAsia" w:ascii="仿宋" w:hAnsi="仿宋" w:eastAsia="仿宋" w:cs="仿宋"/>
          <w:b/>
          <w:sz w:val="24"/>
          <w:shd w:val="clear" w:color="auto" w:fill="FFFFFF"/>
          <w:lang w:bidi="ar"/>
        </w:rPr>
        <w:t>附件</w:t>
      </w:r>
      <w:r>
        <w:rPr>
          <w:rFonts w:ascii="仿宋" w:hAnsi="仿宋" w:eastAsia="仿宋" w:cs="仿宋"/>
          <w:b/>
          <w:sz w:val="24"/>
          <w:shd w:val="clear" w:color="auto" w:fill="FFFFFF"/>
          <w:lang w:bidi="ar"/>
        </w:rPr>
        <w:t>1</w:t>
      </w:r>
      <w:r>
        <w:rPr>
          <w:rFonts w:hint="eastAsia" w:ascii="仿宋" w:hAnsi="仿宋" w:eastAsia="仿宋" w:cs="仿宋"/>
          <w:b/>
          <w:sz w:val="24"/>
          <w:shd w:val="clear" w:color="auto" w:fill="FFFFFF"/>
          <w:lang w:bidi="ar"/>
        </w:rPr>
        <w:t>：</w:t>
      </w:r>
    </w:p>
    <w:p>
      <w:pPr>
        <w:widowControl/>
        <w:shd w:val="clear" w:color="auto" w:fill="FFFFFF"/>
        <w:spacing w:line="440" w:lineRule="exact"/>
        <w:jc w:val="center"/>
        <w:rPr>
          <w:rFonts w:hint="eastAsia" w:ascii="仿宋" w:hAnsi="仿宋" w:eastAsia="仿宋"/>
          <w:b/>
          <w:sz w:val="24"/>
        </w:rPr>
      </w:pPr>
      <w:r>
        <w:rPr>
          <w:rFonts w:hint="eastAsia" w:ascii="仿宋" w:hAnsi="仿宋" w:eastAsia="仿宋"/>
          <w:b/>
          <w:sz w:val="28"/>
          <w:szCs w:val="28"/>
        </w:rPr>
        <w:t>评分因素和权重分值</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8"/>
        <w:gridCol w:w="850"/>
        <w:gridCol w:w="567"/>
        <w:gridCol w:w="851"/>
        <w:gridCol w:w="5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序号</w:t>
            </w:r>
          </w:p>
        </w:tc>
        <w:tc>
          <w:tcPr>
            <w:tcW w:w="3006" w:type="dxa"/>
            <w:gridSpan w:val="4"/>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评分项</w:t>
            </w:r>
          </w:p>
        </w:tc>
        <w:tc>
          <w:tcPr>
            <w:tcW w:w="5783" w:type="dxa"/>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restart"/>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1</w:t>
            </w:r>
          </w:p>
        </w:tc>
        <w:tc>
          <w:tcPr>
            <w:tcW w:w="3006" w:type="dxa"/>
            <w:gridSpan w:val="4"/>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价格</w:t>
            </w:r>
          </w:p>
        </w:tc>
        <w:tc>
          <w:tcPr>
            <w:tcW w:w="5783" w:type="dxa"/>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vMerge w:val="continue"/>
            <w:noWrap w:val="0"/>
            <w:vAlign w:val="center"/>
          </w:tcPr>
          <w:p>
            <w:pPr>
              <w:widowControl/>
              <w:shd w:val="clear" w:color="auto" w:fill="FFFFFF"/>
              <w:spacing w:line="440" w:lineRule="exact"/>
              <w:jc w:val="center"/>
              <w:rPr>
                <w:rFonts w:ascii="仿宋" w:hAnsi="仿宋" w:eastAsia="仿宋"/>
                <w:sz w:val="24"/>
              </w:rPr>
            </w:pPr>
          </w:p>
        </w:tc>
        <w:tc>
          <w:tcPr>
            <w:tcW w:w="8789" w:type="dxa"/>
            <w:gridSpan w:val="5"/>
            <w:noWrap w:val="0"/>
            <w:vAlign w:val="center"/>
          </w:tcPr>
          <w:p>
            <w:pPr>
              <w:widowControl/>
              <w:shd w:val="clear" w:color="auto" w:fill="FFFFFF"/>
              <w:spacing w:line="440" w:lineRule="exact"/>
              <w:jc w:val="left"/>
              <w:rPr>
                <w:rFonts w:hint="eastAsia" w:ascii="仿宋" w:hAnsi="仿宋" w:eastAsia="仿宋"/>
                <w:sz w:val="24"/>
              </w:rPr>
            </w:pPr>
            <w:r>
              <w:rPr>
                <w:rFonts w:ascii="仿宋" w:hAnsi="仿宋" w:eastAsia="仿宋"/>
                <w:sz w:val="24"/>
              </w:rPr>
              <w:t>价格分=[1-（投标报价-最低价）/最低价]×价格权重×100</w:t>
            </w:r>
          </w:p>
          <w:p>
            <w:pPr>
              <w:widowControl/>
              <w:shd w:val="clear" w:color="auto" w:fill="FFFFFF"/>
              <w:spacing w:line="440" w:lineRule="exact"/>
              <w:jc w:val="left"/>
              <w:rPr>
                <w:rFonts w:ascii="仿宋" w:hAnsi="仿宋" w:eastAsia="仿宋"/>
                <w:sz w:val="24"/>
              </w:rPr>
            </w:pPr>
            <w:r>
              <w:rPr>
                <w:rFonts w:ascii="仿宋" w:hAnsi="仿宋" w:eastAsia="仿宋"/>
                <w:sz w:val="24"/>
              </w:rPr>
              <w:t>当价格分＜0时，取0。</w:t>
            </w:r>
          </w:p>
          <w:p>
            <w:pPr>
              <w:widowControl/>
              <w:shd w:val="clear" w:color="auto" w:fill="FFFFFF"/>
              <w:spacing w:line="440" w:lineRule="exact"/>
              <w:jc w:val="left"/>
              <w:rPr>
                <w:rFonts w:ascii="仿宋" w:hAnsi="仿宋" w:eastAsia="仿宋"/>
                <w:sz w:val="24"/>
              </w:rPr>
            </w:pPr>
            <w:r>
              <w:rPr>
                <w:rFonts w:hint="eastAsia" w:ascii="仿宋" w:hAnsi="仿宋" w:eastAsia="仿宋"/>
                <w:sz w:val="24"/>
              </w:rPr>
              <w:t>属于深圳市财政委、发改委制定的《深圳市政府采购循环经济产品（服务）目录》的产品（服务），价格给予10%的扣除，用扣除后的价格参与评审，投标人应在报价明细表备注栏中予以明确标示，并在报价明细表后附产品（服务）目录清单复印件，否则不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09" w:type="dxa"/>
            <w:tcBorders>
              <w:bottom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2</w:t>
            </w:r>
          </w:p>
        </w:tc>
        <w:tc>
          <w:tcPr>
            <w:tcW w:w="3006" w:type="dxa"/>
            <w:gridSpan w:val="4"/>
            <w:tcBorders>
              <w:bottom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技术部分</w:t>
            </w:r>
          </w:p>
        </w:tc>
        <w:tc>
          <w:tcPr>
            <w:tcW w:w="5783" w:type="dxa"/>
            <w:tcBorders>
              <w:bottom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评分因素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权重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评分方式</w:t>
            </w:r>
          </w:p>
        </w:tc>
        <w:tc>
          <w:tcPr>
            <w:tcW w:w="578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r>
              <w:rPr>
                <w:rFonts w:hint="eastAsia" w:ascii="仿宋" w:hAnsi="仿宋" w:eastAsia="仿宋"/>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center"/>
              <w:rPr>
                <w:rFonts w:ascii="仿宋" w:hAnsi="仿宋" w:eastAsia="仿宋"/>
                <w:sz w:val="24"/>
              </w:rPr>
            </w:pP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1</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总体技术方案</w:t>
            </w:r>
          </w:p>
        </w:tc>
        <w:tc>
          <w:tcPr>
            <w:tcW w:w="56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专家打分</w:t>
            </w:r>
          </w:p>
        </w:tc>
        <w:tc>
          <w:tcPr>
            <w:tcW w:w="5783"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按技术方案的科学性（功能设计是否详细、完整、切实可行，是否存在缺陷或风险）、合理性（是否有完整的技术保障、技术支持措施是否合理，研发人员配置情况），优越性（软件系统技术架构、性能是否优越，操作、使用是否方便）、技术先进性（采用的技术是否完全满足本次招标要求）、开放性（是否能够跟学校智慧校园的其他系统进行对接）、可靠性（是否采用较可靠的措施，能保证本次网络测试及</w:t>
            </w:r>
            <w:r>
              <w:rPr>
                <w:rFonts w:ascii="仿宋" w:hAnsi="仿宋" w:eastAsia="仿宋"/>
                <w:sz w:val="24"/>
              </w:rPr>
              <w:t>评分系统</w:t>
            </w:r>
            <w:r>
              <w:rPr>
                <w:rFonts w:hint="eastAsia" w:ascii="仿宋" w:hAnsi="仿宋" w:eastAsia="仿宋"/>
                <w:sz w:val="24"/>
              </w:rPr>
              <w:t>工作能够顺利进行）、经济性（方案是否有利于整个项目建设的投资控制）</w:t>
            </w:r>
            <w:r>
              <w:rPr>
                <w:rFonts w:ascii="仿宋" w:hAnsi="仿宋" w:eastAsia="仿宋"/>
                <w:sz w:val="24"/>
              </w:rPr>
              <w:t>根据优劣情况评分，优得</w:t>
            </w:r>
            <w:r>
              <w:rPr>
                <w:rFonts w:hint="eastAsia" w:ascii="仿宋" w:hAnsi="仿宋" w:eastAsia="仿宋"/>
                <w:sz w:val="24"/>
              </w:rPr>
              <w:t>10分</w:t>
            </w:r>
            <w:r>
              <w:rPr>
                <w:rFonts w:ascii="仿宋" w:hAnsi="仿宋" w:eastAsia="仿宋"/>
                <w:sz w:val="24"/>
              </w:rPr>
              <w:t>；良得</w:t>
            </w:r>
            <w:r>
              <w:rPr>
                <w:rFonts w:hint="eastAsia" w:ascii="仿宋" w:hAnsi="仿宋" w:eastAsia="仿宋"/>
                <w:sz w:val="24"/>
              </w:rPr>
              <w:t>7分</w:t>
            </w:r>
            <w:r>
              <w:rPr>
                <w:rFonts w:ascii="仿宋" w:hAnsi="仿宋" w:eastAsia="仿宋"/>
                <w:sz w:val="24"/>
              </w:rPr>
              <w:t>；中得</w:t>
            </w:r>
            <w:r>
              <w:rPr>
                <w:rFonts w:hint="eastAsia" w:ascii="仿宋" w:hAnsi="仿宋" w:eastAsia="仿宋"/>
                <w:sz w:val="24"/>
              </w:rPr>
              <w:t>5分</w:t>
            </w:r>
            <w:r>
              <w:rPr>
                <w:rFonts w:ascii="仿宋" w:hAnsi="仿宋" w:eastAsia="仿宋"/>
                <w:sz w:val="24"/>
              </w:rPr>
              <w:t>；差得</w:t>
            </w:r>
            <w:r>
              <w:rPr>
                <w:rFonts w:hint="eastAsia" w:ascii="仿宋" w:hAnsi="仿宋" w:eastAsia="仿宋"/>
                <w:sz w:val="24"/>
              </w:rPr>
              <w:t>2分</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tcBorders>
              <w:top w:val="single" w:color="auto" w:sz="4" w:space="0"/>
            </w:tcBorders>
            <w:noWrap w:val="0"/>
            <w:vAlign w:val="center"/>
          </w:tcPr>
          <w:p>
            <w:pPr>
              <w:widowControl/>
              <w:shd w:val="clear" w:color="auto" w:fill="FFFFFF"/>
              <w:spacing w:line="440" w:lineRule="exact"/>
              <w:jc w:val="center"/>
              <w:rPr>
                <w:rFonts w:ascii="仿宋" w:hAnsi="仿宋" w:eastAsia="仿宋"/>
                <w:sz w:val="24"/>
              </w:rPr>
            </w:pPr>
          </w:p>
        </w:tc>
        <w:tc>
          <w:tcPr>
            <w:tcW w:w="738" w:type="dxa"/>
            <w:tcBorders>
              <w:top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2</w:t>
            </w:r>
          </w:p>
        </w:tc>
        <w:tc>
          <w:tcPr>
            <w:tcW w:w="850" w:type="dxa"/>
            <w:tcBorders>
              <w:top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技术参数</w:t>
            </w:r>
          </w:p>
        </w:tc>
        <w:tc>
          <w:tcPr>
            <w:tcW w:w="567" w:type="dxa"/>
            <w:tcBorders>
              <w:top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40</w:t>
            </w:r>
          </w:p>
        </w:tc>
        <w:tc>
          <w:tcPr>
            <w:tcW w:w="851" w:type="dxa"/>
            <w:tcBorders>
              <w:top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专家打分</w:t>
            </w:r>
          </w:p>
        </w:tc>
        <w:tc>
          <w:tcPr>
            <w:tcW w:w="5783" w:type="dxa"/>
            <w:tcBorders>
              <w:top w:val="single" w:color="auto" w:sz="4" w:space="0"/>
            </w:tcBorders>
            <w:noWrap w:val="0"/>
            <w:vAlign w:val="top"/>
          </w:tcPr>
          <w:p>
            <w:pPr>
              <w:widowControl/>
              <w:shd w:val="clear" w:color="auto" w:fill="FFFFFF"/>
              <w:spacing w:line="440" w:lineRule="exact"/>
              <w:jc w:val="left"/>
              <w:rPr>
                <w:rFonts w:ascii="仿宋" w:hAnsi="仿宋" w:eastAsia="仿宋"/>
                <w:sz w:val="24"/>
              </w:rPr>
            </w:pPr>
            <w:r>
              <w:rPr>
                <w:rFonts w:hint="eastAsia" w:ascii="仿宋" w:hAnsi="仿宋" w:eastAsia="仿宋"/>
                <w:sz w:val="24"/>
              </w:rPr>
              <w:t>对比技术参数，完全满足招标技术参数要求得满分，对带有“▲”符号负偏离每处扣10分，其它负偏离每处扣5分，本项最低分为0分。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tcBorders>
              <w:top w:val="single" w:color="auto" w:sz="4" w:space="0"/>
            </w:tcBorders>
            <w:noWrap w:val="0"/>
            <w:vAlign w:val="center"/>
          </w:tcPr>
          <w:p>
            <w:pPr>
              <w:widowControl/>
              <w:shd w:val="clear" w:color="auto" w:fill="FFFFFF"/>
              <w:spacing w:line="440" w:lineRule="exact"/>
              <w:jc w:val="center"/>
              <w:rPr>
                <w:rFonts w:ascii="仿宋" w:hAnsi="仿宋" w:eastAsia="仿宋"/>
                <w:sz w:val="24"/>
              </w:rPr>
            </w:pPr>
          </w:p>
        </w:tc>
        <w:tc>
          <w:tcPr>
            <w:tcW w:w="738"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3</w:t>
            </w:r>
          </w:p>
        </w:tc>
        <w:tc>
          <w:tcPr>
            <w:tcW w:w="850"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企业业绩</w:t>
            </w:r>
          </w:p>
        </w:tc>
        <w:tc>
          <w:tcPr>
            <w:tcW w:w="567"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5</w:t>
            </w:r>
          </w:p>
        </w:tc>
        <w:tc>
          <w:tcPr>
            <w:tcW w:w="851"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专家打分</w:t>
            </w:r>
          </w:p>
        </w:tc>
        <w:tc>
          <w:tcPr>
            <w:tcW w:w="5783" w:type="dxa"/>
            <w:tcBorders>
              <w:top w:val="single" w:color="auto" w:sz="4" w:space="0"/>
            </w:tcBorders>
            <w:noWrap w:val="0"/>
            <w:vAlign w:val="top"/>
          </w:tcPr>
          <w:p>
            <w:pPr>
              <w:widowControl/>
              <w:shd w:val="clear" w:color="auto" w:fill="FFFFFF"/>
              <w:spacing w:line="440" w:lineRule="exact"/>
              <w:jc w:val="left"/>
              <w:rPr>
                <w:rFonts w:ascii="仿宋" w:hAnsi="仿宋" w:eastAsia="仿宋"/>
                <w:sz w:val="24"/>
              </w:rPr>
            </w:pPr>
            <w:r>
              <w:rPr>
                <w:rFonts w:hint="eastAsia" w:ascii="仿宋" w:hAnsi="仿宋" w:eastAsia="仿宋"/>
                <w:sz w:val="24"/>
              </w:rPr>
              <w:t>自2019年1月1日至本项目招标公告发布之日（以合同签订日期为准），投标人每提供一项承担智慧校园软件项目业绩，得1分，满分5分；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证明文件：投标人须提供相关合同关键页和验收报告的复印件，原件备查，未按要求提供或提供不清晰导致专家无法判断的不得分。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tcBorders>
              <w:top w:val="single" w:color="auto" w:sz="4" w:space="0"/>
            </w:tcBorders>
            <w:noWrap w:val="0"/>
            <w:vAlign w:val="center"/>
          </w:tcPr>
          <w:p>
            <w:pPr>
              <w:widowControl/>
              <w:shd w:val="clear" w:color="auto" w:fill="FFFFFF"/>
              <w:spacing w:line="440" w:lineRule="exact"/>
              <w:jc w:val="center"/>
              <w:rPr>
                <w:rFonts w:ascii="仿宋" w:hAnsi="仿宋" w:eastAsia="仿宋"/>
                <w:sz w:val="24"/>
              </w:rPr>
            </w:pPr>
          </w:p>
        </w:tc>
        <w:tc>
          <w:tcPr>
            <w:tcW w:w="738"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4</w:t>
            </w:r>
          </w:p>
        </w:tc>
        <w:tc>
          <w:tcPr>
            <w:tcW w:w="850"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履约评价</w:t>
            </w:r>
          </w:p>
        </w:tc>
        <w:tc>
          <w:tcPr>
            <w:tcW w:w="567"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5</w:t>
            </w:r>
          </w:p>
        </w:tc>
        <w:tc>
          <w:tcPr>
            <w:tcW w:w="851"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专家打分</w:t>
            </w:r>
          </w:p>
        </w:tc>
        <w:tc>
          <w:tcPr>
            <w:tcW w:w="5783" w:type="dxa"/>
            <w:tcBorders>
              <w:top w:val="single" w:color="auto" w:sz="4" w:space="0"/>
            </w:tcBorders>
            <w:noWrap w:val="0"/>
            <w:vAlign w:val="top"/>
          </w:tcPr>
          <w:p>
            <w:pPr>
              <w:widowControl/>
              <w:shd w:val="clear" w:color="auto" w:fill="FFFFFF"/>
              <w:spacing w:line="440" w:lineRule="exact"/>
              <w:jc w:val="left"/>
              <w:rPr>
                <w:rFonts w:ascii="仿宋" w:hAnsi="仿宋" w:eastAsia="仿宋"/>
                <w:sz w:val="24"/>
              </w:rPr>
            </w:pPr>
            <w:r>
              <w:rPr>
                <w:rFonts w:hint="eastAsia" w:ascii="仿宋" w:hAnsi="仿宋" w:eastAsia="仿宋"/>
                <w:sz w:val="24"/>
              </w:rPr>
              <w:t>2019年1月1日至本项目公告发布之日止具有智慧校园软件项目业绩的用户单位出具的评价为“满意”或最高评价的服务质量评价表，每提供一项得1分，满分5分；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证明文件：提供用户单位出具的服务质量评价表复印件加盖公章，原件备查，未按要求提供或提供不清晰导致无法判断的不得分。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tcBorders>
              <w:top w:val="single" w:color="auto" w:sz="4" w:space="0"/>
            </w:tcBorders>
            <w:noWrap w:val="0"/>
            <w:vAlign w:val="center"/>
          </w:tcPr>
          <w:p>
            <w:pPr>
              <w:widowControl/>
              <w:shd w:val="clear" w:color="auto" w:fill="FFFFFF"/>
              <w:spacing w:line="440" w:lineRule="exact"/>
              <w:jc w:val="center"/>
              <w:rPr>
                <w:rFonts w:ascii="仿宋" w:hAnsi="仿宋" w:eastAsia="仿宋"/>
                <w:sz w:val="24"/>
              </w:rPr>
            </w:pPr>
          </w:p>
        </w:tc>
        <w:tc>
          <w:tcPr>
            <w:tcW w:w="738"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5</w:t>
            </w:r>
          </w:p>
        </w:tc>
        <w:tc>
          <w:tcPr>
            <w:tcW w:w="850" w:type="dxa"/>
            <w:tcBorders>
              <w:top w:val="single" w:color="auto" w:sz="4" w:space="0"/>
            </w:tcBorders>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投标人</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技术实力</w:t>
            </w:r>
          </w:p>
        </w:tc>
        <w:tc>
          <w:tcPr>
            <w:tcW w:w="567"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15</w:t>
            </w:r>
          </w:p>
        </w:tc>
        <w:tc>
          <w:tcPr>
            <w:tcW w:w="851" w:type="dxa"/>
            <w:tcBorders>
              <w:top w:val="single" w:color="auto" w:sz="4" w:space="0"/>
            </w:tcBorders>
            <w:noWrap w:val="0"/>
            <w:vAlign w:val="center"/>
          </w:tcPr>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专家打分</w:t>
            </w:r>
          </w:p>
        </w:tc>
        <w:tc>
          <w:tcPr>
            <w:tcW w:w="5783" w:type="dxa"/>
            <w:tcBorders>
              <w:top w:val="single" w:color="auto" w:sz="4" w:space="0"/>
            </w:tcBorders>
            <w:noWrap w:val="0"/>
            <w:vAlign w:val="top"/>
          </w:tcPr>
          <w:p>
            <w:pPr>
              <w:widowControl/>
              <w:shd w:val="clear" w:color="auto" w:fill="FFFFFF"/>
              <w:spacing w:line="440" w:lineRule="exact"/>
              <w:jc w:val="left"/>
              <w:rPr>
                <w:rFonts w:ascii="仿宋" w:hAnsi="仿宋" w:eastAsia="仿宋"/>
                <w:sz w:val="24"/>
              </w:rPr>
            </w:pPr>
            <w:r>
              <w:rPr>
                <w:rFonts w:hint="eastAsia" w:ascii="仿宋" w:hAnsi="仿宋" w:eastAsia="仿宋"/>
                <w:sz w:val="24"/>
              </w:rPr>
              <w:t>1、投标人具有高并发高性能的网络考试系统软件著作权登记证书得3分，不提供不得分。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2、投标人具有数据中台集成系统</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软件著作权登记证书得3分，不提供不得分。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3、投标人具有教育大数据分析系统软件著作权登记证书，得3分，不提供不得分。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4、投标人具有智慧大数据平台软件著作权登记证书得3分，不提供不得分。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5、投标人具有智慧校园云平台软件著作权登记证书得3分，不提供不得分。</w:t>
            </w:r>
          </w:p>
          <w:p>
            <w:pPr>
              <w:widowControl/>
              <w:shd w:val="clear" w:color="auto" w:fill="FFFFFF"/>
              <w:spacing w:line="440" w:lineRule="exact"/>
              <w:jc w:val="left"/>
              <w:rPr>
                <w:rFonts w:hint="eastAsia" w:ascii="仿宋" w:hAnsi="仿宋" w:eastAsia="仿宋"/>
                <w:sz w:val="24"/>
              </w:rPr>
            </w:pPr>
            <w:r>
              <w:rPr>
                <w:rFonts w:hint="eastAsia" w:ascii="仿宋" w:hAnsi="仿宋" w:eastAsia="仿宋"/>
                <w:sz w:val="24"/>
              </w:rPr>
              <w:t>证明文件：提供投标人取得的软件著作权证书复印件加盖公章，原件备查，未按要求提供或提供不清晰导致无法判断的不得分。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09" w:type="dxa"/>
            <w:vMerge w:val="continue"/>
            <w:noWrap w:val="0"/>
            <w:vAlign w:val="center"/>
          </w:tcPr>
          <w:p>
            <w:pPr>
              <w:widowControl/>
              <w:shd w:val="clear" w:color="auto" w:fill="FFFFFF"/>
              <w:spacing w:line="440" w:lineRule="exact"/>
              <w:jc w:val="center"/>
              <w:rPr>
                <w:rFonts w:ascii="仿宋" w:hAnsi="仿宋" w:eastAsia="仿宋"/>
                <w:sz w:val="24"/>
              </w:rPr>
            </w:pPr>
          </w:p>
        </w:tc>
        <w:tc>
          <w:tcPr>
            <w:tcW w:w="738" w:type="dxa"/>
            <w:noWrap w:val="0"/>
            <w:vAlign w:val="center"/>
          </w:tcPr>
          <w:p>
            <w:pPr>
              <w:widowControl/>
              <w:shd w:val="clear" w:color="auto" w:fill="FFFFFF"/>
              <w:spacing w:line="440" w:lineRule="exact"/>
              <w:jc w:val="left"/>
              <w:rPr>
                <w:rFonts w:ascii="仿宋" w:hAnsi="仿宋" w:eastAsia="仿宋"/>
                <w:sz w:val="24"/>
              </w:rPr>
            </w:pPr>
            <w:r>
              <w:rPr>
                <w:rFonts w:ascii="仿宋" w:hAnsi="仿宋" w:eastAsia="仿宋"/>
                <w:sz w:val="24"/>
              </w:rPr>
              <w:t>6</w:t>
            </w:r>
          </w:p>
        </w:tc>
        <w:tc>
          <w:tcPr>
            <w:tcW w:w="850" w:type="dxa"/>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售后服务方案</w:t>
            </w:r>
          </w:p>
        </w:tc>
        <w:tc>
          <w:tcPr>
            <w:tcW w:w="567" w:type="dxa"/>
            <w:noWrap w:val="0"/>
            <w:vAlign w:val="center"/>
          </w:tcPr>
          <w:p>
            <w:pPr>
              <w:widowControl/>
              <w:shd w:val="clear" w:color="auto" w:fill="FFFFFF"/>
              <w:spacing w:line="440" w:lineRule="exact"/>
              <w:jc w:val="left"/>
              <w:rPr>
                <w:rFonts w:ascii="仿宋" w:hAnsi="仿宋" w:eastAsia="仿宋"/>
                <w:sz w:val="24"/>
              </w:rPr>
            </w:pPr>
            <w:r>
              <w:rPr>
                <w:rFonts w:ascii="仿宋" w:hAnsi="仿宋" w:eastAsia="仿宋"/>
                <w:sz w:val="24"/>
              </w:rPr>
              <w:t>5</w:t>
            </w:r>
          </w:p>
        </w:tc>
        <w:tc>
          <w:tcPr>
            <w:tcW w:w="851" w:type="dxa"/>
            <w:noWrap w:val="0"/>
            <w:vAlign w:val="center"/>
          </w:tcPr>
          <w:p>
            <w:pPr>
              <w:widowControl/>
              <w:shd w:val="clear" w:color="auto" w:fill="FFFFFF"/>
              <w:spacing w:line="440" w:lineRule="exact"/>
              <w:jc w:val="left"/>
              <w:rPr>
                <w:rFonts w:ascii="仿宋" w:hAnsi="仿宋" w:eastAsia="仿宋"/>
                <w:sz w:val="24"/>
              </w:rPr>
            </w:pPr>
            <w:r>
              <w:rPr>
                <w:rFonts w:hint="eastAsia" w:ascii="仿宋" w:hAnsi="仿宋" w:eastAsia="仿宋"/>
                <w:sz w:val="24"/>
              </w:rPr>
              <w:t>专家打分</w:t>
            </w:r>
          </w:p>
        </w:tc>
        <w:tc>
          <w:tcPr>
            <w:tcW w:w="5783" w:type="dxa"/>
            <w:noWrap w:val="0"/>
            <w:vAlign w:val="top"/>
          </w:tcPr>
          <w:p>
            <w:pPr>
              <w:widowControl/>
              <w:shd w:val="clear" w:color="auto" w:fill="FFFFFF"/>
              <w:spacing w:line="440" w:lineRule="exact"/>
              <w:jc w:val="left"/>
              <w:rPr>
                <w:rFonts w:ascii="仿宋" w:hAnsi="仿宋" w:eastAsia="仿宋"/>
                <w:sz w:val="24"/>
              </w:rPr>
            </w:pPr>
            <w:r>
              <w:rPr>
                <w:rFonts w:hint="eastAsia" w:ascii="仿宋" w:hAnsi="仿宋" w:eastAsia="仿宋"/>
                <w:sz w:val="24"/>
              </w:rPr>
              <w:t>从投标人售后服务机构的便利度，售后服务计划具体、详细、可行，售后服务人员的配置情况，有利于项目实施后期售后服务，</w:t>
            </w:r>
            <w:r>
              <w:rPr>
                <w:rFonts w:ascii="仿宋" w:hAnsi="仿宋" w:eastAsia="仿宋"/>
                <w:sz w:val="24"/>
              </w:rPr>
              <w:t>优得5</w:t>
            </w:r>
            <w:r>
              <w:rPr>
                <w:rFonts w:hint="eastAsia" w:ascii="仿宋" w:hAnsi="仿宋" w:eastAsia="仿宋"/>
                <w:sz w:val="24"/>
              </w:rPr>
              <w:t>分</w:t>
            </w:r>
            <w:r>
              <w:rPr>
                <w:rFonts w:ascii="仿宋" w:hAnsi="仿宋" w:eastAsia="仿宋"/>
                <w:sz w:val="24"/>
              </w:rPr>
              <w:t>；良得</w:t>
            </w:r>
            <w:r>
              <w:rPr>
                <w:rFonts w:hint="eastAsia" w:ascii="仿宋" w:hAnsi="仿宋" w:eastAsia="仿宋"/>
                <w:sz w:val="24"/>
              </w:rPr>
              <w:t>3分</w:t>
            </w:r>
            <w:r>
              <w:rPr>
                <w:rFonts w:ascii="仿宋" w:hAnsi="仿宋" w:eastAsia="仿宋"/>
                <w:sz w:val="24"/>
              </w:rPr>
              <w:t>；中得1</w:t>
            </w:r>
            <w:r>
              <w:rPr>
                <w:rFonts w:hint="eastAsia" w:ascii="仿宋" w:hAnsi="仿宋" w:eastAsia="仿宋"/>
                <w:sz w:val="24"/>
              </w:rPr>
              <w:t>分</w:t>
            </w:r>
            <w:r>
              <w:rPr>
                <w:rFonts w:ascii="仿宋" w:hAnsi="仿宋" w:eastAsia="仿宋"/>
                <w:sz w:val="24"/>
              </w:rPr>
              <w:t>；差</w:t>
            </w:r>
            <w:r>
              <w:rPr>
                <w:rFonts w:hint="eastAsia" w:ascii="仿宋" w:hAnsi="仿宋" w:eastAsia="仿宋"/>
                <w:sz w:val="24"/>
              </w:rPr>
              <w:t>不</w:t>
            </w:r>
            <w:r>
              <w:rPr>
                <w:rFonts w:ascii="仿宋" w:hAnsi="仿宋" w:eastAsia="仿宋"/>
                <w:sz w:val="24"/>
              </w:rPr>
              <w:t>得</w:t>
            </w:r>
            <w:r>
              <w:rPr>
                <w:rFonts w:hint="eastAsia" w:ascii="仿宋" w:hAnsi="仿宋" w:eastAsia="仿宋"/>
                <w:sz w:val="24"/>
              </w:rPr>
              <w:t>分</w:t>
            </w:r>
            <w:r>
              <w:rPr>
                <w:rFonts w:ascii="仿宋" w:hAnsi="仿宋" w:eastAsia="仿宋"/>
                <w:sz w:val="24"/>
              </w:rPr>
              <w:t>。</w:t>
            </w:r>
          </w:p>
        </w:tc>
      </w:tr>
    </w:tbl>
    <w:p>
      <w:pPr>
        <w:widowControl/>
        <w:shd w:val="clear" w:color="auto" w:fill="FFFFFF"/>
        <w:spacing w:line="440" w:lineRule="exact"/>
        <w:jc w:val="center"/>
        <w:rPr>
          <w:rFonts w:hint="eastAsia" w:ascii="仿宋" w:hAnsi="仿宋" w:eastAsia="仿宋"/>
          <w:sz w:val="28"/>
          <w:szCs w:val="28"/>
        </w:rPr>
      </w:pPr>
    </w:p>
    <w:p>
      <w:pPr>
        <w:widowControl/>
        <w:shd w:val="clear" w:color="auto" w:fill="FFFFFF"/>
        <w:spacing w:line="440" w:lineRule="exact"/>
        <w:jc w:val="center"/>
        <w:rPr>
          <w:rFonts w:ascii="仿宋" w:hAnsi="仿宋" w:eastAsia="仿宋" w:cs="仿宋"/>
          <w:b/>
          <w:kern w:val="0"/>
          <w:sz w:val="24"/>
          <w:shd w:val="clear" w:color="auto" w:fill="FFFFFF"/>
          <w:lang w:bidi="ar"/>
        </w:rPr>
      </w:pPr>
    </w:p>
    <w:p>
      <w:pPr>
        <w:widowControl/>
        <w:shd w:val="clear" w:color="auto" w:fill="FFFFFF"/>
        <w:spacing w:line="440" w:lineRule="exact"/>
        <w:jc w:val="center"/>
        <w:rPr>
          <w:rFonts w:ascii="仿宋" w:hAnsi="仿宋" w:eastAsia="仿宋" w:cs="仿宋"/>
          <w:b/>
          <w:kern w:val="0"/>
          <w:sz w:val="24"/>
          <w:shd w:val="clear" w:color="auto" w:fill="FFFFFF"/>
          <w:lang w:bidi="ar"/>
        </w:rPr>
      </w:pPr>
    </w:p>
    <w:p>
      <w:pPr>
        <w:widowControl/>
        <w:shd w:val="clear" w:color="auto" w:fill="FFFFFF"/>
        <w:spacing w:line="440" w:lineRule="exact"/>
        <w:jc w:val="center"/>
        <w:rPr>
          <w:rFonts w:ascii="仿宋" w:hAnsi="仿宋" w:eastAsia="仿宋" w:cs="仿宋"/>
          <w:b/>
          <w:kern w:val="0"/>
          <w:sz w:val="24"/>
          <w:shd w:val="clear" w:color="auto" w:fill="FFFFFF"/>
          <w:lang w:bidi="ar"/>
        </w:rPr>
      </w:pPr>
    </w:p>
    <w:p>
      <w:pPr>
        <w:spacing w:before="25" w:line="440" w:lineRule="exact"/>
        <w:rPr>
          <w:rFonts w:hint="eastAsia" w:ascii="仿宋" w:hAnsi="仿宋" w:eastAsia="仿宋"/>
          <w:sz w:val="24"/>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YTgyMThjOTJjYTczYjJkOThhODQ5ZTlhYmYyNjcifQ=="/>
  </w:docVars>
  <w:rsids>
    <w:rsidRoot w:val="1CBD318B"/>
    <w:rsid w:val="1CBD318B"/>
    <w:rsid w:val="7F3E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kern w:val="0"/>
      <w:sz w:val="32"/>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01"/>
    <w:uiPriority w:val="0"/>
    <w:rPr>
      <w:rFonts w:hint="eastAsia" w:ascii="华文楷体" w:hAnsi="华文楷体" w:eastAsia="华文楷体" w:cs="华文楷体"/>
      <w:b/>
      <w:bCs/>
      <w:color w:val="000000"/>
      <w:sz w:val="28"/>
      <w:szCs w:val="28"/>
      <w:u w:val="none"/>
    </w:rPr>
  </w:style>
  <w:style w:type="character" w:customStyle="1" w:styleId="6">
    <w:name w:val="font41"/>
    <w:uiPriority w:val="0"/>
    <w:rPr>
      <w:rFonts w:hint="eastAsia" w:ascii="华文楷体" w:hAnsi="华文楷体" w:eastAsia="华文楷体" w:cs="华文楷体"/>
      <w:color w:val="000000"/>
      <w:sz w:val="28"/>
      <w:szCs w:val="28"/>
      <w:u w:val="none"/>
    </w:rPr>
  </w:style>
  <w:style w:type="character" w:customStyle="1" w:styleId="7">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3998</Words>
  <Characters>4120</Characters>
  <Lines>0</Lines>
  <Paragraphs>0</Paragraphs>
  <TotalTime>1</TotalTime>
  <ScaleCrop>false</ScaleCrop>
  <LinksUpToDate>false</LinksUpToDate>
  <CharactersWithSpaces>4133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2023-06-04T11:49:00Z</dcterms:created>
  <dc:creator>黄明华</dc:creator>
  <cp:lastModifiedBy>黄明华</cp:lastModifiedBy>
  <dcterms:modified xsi:type="dcterms:W3CDTF">2023-06-04T11:54:11Z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87F3CD417BF348FA947A20D3083C4320_11</vt:lpwstr>
  </property>
</Properties>
</file>